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232F3E"/>
          <w:sz w:val="32"/>
        </w:rPr>
        <w:t>WWRGD</w:t>
      </w:r>
    </w:p>
    <w:p>
      <w:pPr>
        <w:jc w:val="right"/>
      </w:pPr>
      <w:r>
        <w:rPr>
          <w:color w:val="666666"/>
          <w:sz w:val="20"/>
        </w:rPr>
        <w:t>Worldwide Retail Growth &amp; Development</w:t>
      </w:r>
    </w:p>
    <w:p>
      <w:pPr>
        <w:pStyle w:val="Heading1"/>
      </w:pPr>
      <w:r>
        <w:rPr>
          <w:color w:val="232F3E"/>
        </w:rPr>
        <w:t>ARCHITECTURE &amp; DESIGN VENDOR RISK SCORING MATRIX</w:t>
      </w:r>
    </w:p>
    <w:p>
      <w:r>
        <w:t>Quantitative Risk Evaluation Framework for Architecture &amp; Design Vendors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18"/>
              </w:rPr>
              <w:t>Document ID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Version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Effective Date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Classification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WWRGD-RSM-AD-001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v1.0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April 2026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CONFIDENTIAL</w:t>
            </w:r>
          </w:p>
        </w:tc>
      </w:tr>
    </w:tbl>
    <w:p/>
    <w:p>
      <w:pPr>
        <w:pStyle w:val="Heading2"/>
      </w:pPr>
      <w:r>
        <w:rPr>
          <w:color w:val="232F3E"/>
        </w:rPr>
        <w:t>SCOPE &amp; PURPOSE</w:t>
      </w:r>
    </w:p>
    <w:p>
      <w:r>
        <w:t>This matrix provides a standardized, quantitative framework for evaluating Architecture &amp; Design vendor risk. It applies to all A&amp;D firms bidding on or engaged in architectural design, interior design, store planning, MEP engineering, structural engineering, sustainability consulting, and construction documentation services for WWRGD. The 400-point scoring system, six weighted risk categories, and four-tier risk classification enable consistent, defensible, and comparable vendor assessments across the WWRGD project portfolio. This document is the companion scoring guide to the WWRGD Architecture &amp; Design Vendor RFI (WWRGD_Architecture_Design_Vendor_RFI.xlsx).</w:t>
      </w:r>
    </w:p>
    <w:p>
      <w:pPr>
        <w:pStyle w:val="Heading2"/>
      </w:pPr>
      <w:r>
        <w:rPr>
          <w:color w:val="232F3E"/>
        </w:rPr>
        <w:t>SECTION A: Critical Risk Indicators (Automatic Disqualification)</w:t>
      </w:r>
    </w:p>
    <w:p>
      <w:r>
        <w:t>A "Fail" on any indicator requires immediate escalation to VP/Executive level before proceeding with scoring.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18"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Critical Risk Indicator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Threshold / Disqualifying Condition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Status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Active Litigation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Pending or active litigation exceeding $5,000,000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☐ Pass / ☐ Fail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Regulatory / Professional Board Violations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Willful or repeat violations; professional license revocation or suspension; building code violations resulting in injury or structural failure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☐ Pass / ☐ Fail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Financial Distress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Negative operating cash flow for 2+ consecutive years; covenant violations; bankruptcy filing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☐ Pass / ☐ Fail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Debarment Status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Any active federal, state, or local debarment or exclusion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☐ Pass / ☐ Fail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Safety Metrics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EMR &gt; 1.2 or TRIR &gt; 3.0 (for firms with site/field operations)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☐ Pass / ☐ Fail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E&amp;O / Insurance Capacity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Professional liability (E&amp;O) or general liability insurance insufficient for engagement scope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☐ Pass / ☐ Fail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License Status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Expired, suspended, or revoked professional licenses (RA, PE, AIA) required for project work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☐ Pass / ☐ Fail</w:t>
            </w:r>
          </w:p>
        </w:tc>
      </w:tr>
    </w:tbl>
    <w:p/>
    <w:p>
      <w:pPr>
        <w:pStyle w:val="Heading2"/>
      </w:pPr>
      <w:r>
        <w:rPr>
          <w:color w:val="232F3E"/>
        </w:rPr>
        <w:t>SECTION B: Weighted Risk Categories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18"/>
              </w:rPr>
              <w:t>Risk Category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Weight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Max Score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Rationale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Financial Stability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30%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120 pts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Highest impact on project completion ability and long-term firm viability; E&amp;O insurance capacity critical for design liability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Safety Performance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20%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80 pts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Site safety during field surveys and construction observation; workplace safety; professional liability exposure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Quality / Performance History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20%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80 pts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Design quality, code compliance track record, construction document accuracy, client satisfaction, and project delivery performance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Operational Capacity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20%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80 pts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Staff depth in licensed professionals, concurrent project capacity, scalability, and key-person dependency risk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Compliance Record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10%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20 pts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Professional licensing compliance, building code expertise, ADA compliance, regulatory history, and third-party certifications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Technology Capabilities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10%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20 pts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BIM/Revit proficiency, 3D visualization, VR/AR, sustainability modeling, collaboration platforms, and cybersecurity posture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TOTAL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100%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400 pts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Maximum Composite Score</w:t>
            </w:r>
          </w:p>
        </w:tc>
      </w:tr>
    </w:tbl>
    <w:p/>
    <w:p>
      <w:pPr>
        <w:pStyle w:val="Heading2"/>
      </w:pPr>
      <w:r>
        <w:rPr>
          <w:color w:val="232F3E"/>
        </w:rPr>
        <w:t>SECTION C: Detailed Scoring Rubrics (1–4 Scale)</w:t>
      </w:r>
    </w:p>
    <w:p>
      <w:pPr>
        <w:pStyle w:val="Heading3"/>
      </w:pPr>
      <w:r>
        <w:rPr>
          <w:color w:val="232F3E"/>
        </w:rPr>
        <w:t>C1. Financial Stability — 30% Weight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Level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Criteria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Excellent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D/E ratio &lt; 0.5; strong positive cash flow all 3 years; E&amp;O insurance &gt;150% of engagement value; audited financials with clean opinion; diversified client base (no single client &gt;25% of revenue); consistent revenue growth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Good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D/E ratio 0.5–1.0; adequate positive cash flow; E&amp;O insurance meets engagement requirements; audited or reviewed financials with minor findings; stable revenue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Fair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D/E ratio 1.0–2.0; inconsistent cash flow; E&amp;O coverage meets minimums but limited headroom; some financial concerns; flat or declining revenue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Poor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D/E ratio &gt; 2.0; negative cash flow; E&amp;O insurance gaps; significant financial stress; declining revenue; adverse audit findings</w:t>
            </w:r>
          </w:p>
        </w:tc>
      </w:tr>
    </w:tbl>
    <w:p>
      <w:pPr>
        <w:pStyle w:val="Heading3"/>
      </w:pPr>
      <w:r>
        <w:rPr>
          <w:color w:val="232F3E"/>
        </w:rPr>
        <w:t>C2. Safety Performance — 20% Weight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Level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Criteria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Excellent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Zero workplace incidents in 3 years; comprehensive site safety protocols for field surveys and construction observation; documented safety training program; proactive safety culture; zero professional liability claims in 5 years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Good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Rare workplace incidents; documented site safety procedures; regular safety training; minor professional liability claims resolved without adverse findings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Fair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Occasional incidents; basic safety compliance; limited site safety documentation; some professional liability claims with moderate settlements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Poor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Pattern of workplace incidents; inadequate safety program; significant professional liability claims or malpractice findings; OSHA violations</w:t>
            </w:r>
          </w:p>
        </w:tc>
      </w:tr>
    </w:tbl>
    <w:p>
      <w:pPr>
        <w:pStyle w:val="Heading3"/>
      </w:pPr>
      <w:r>
        <w:rPr>
          <w:color w:val="232F3E"/>
        </w:rPr>
        <w:t>C3. Quality / Performance History — 20% Weight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Level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Criteria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Excellent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On-time delivery &gt;95%; CD error/omission rate &lt;2%; design revision rate &lt;3 major revisions per project; client retention &gt;90%; CPI &gt;0.95; SPI &gt;0.95; industry design awards; zero code compliance failures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Good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On-time delivery 90–95%; CD error rate 2–5%; 3–5 major revisions per project; client retention 75–90%; CPI 0.90–0.95; positive references; documented QA/QC process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Fair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On-time delivery 80–90%; CD error rate 5–10%; frequent revisions; client retention 60–75%; CPI 0.85–0.90; mixed references; basic quality processes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Poor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On-time delivery &lt;80%; CD error rate &gt;10%; excessive revisions causing project delays; client retention &lt;60%; terminated contracts; code compliance failures; no formal QA/QC</w:t>
            </w:r>
          </w:p>
        </w:tc>
      </w:tr>
    </w:tbl>
    <w:p>
      <w:pPr>
        <w:pStyle w:val="Heading3"/>
      </w:pPr>
      <w:r>
        <w:rPr>
          <w:color w:val="232F3E"/>
        </w:rPr>
        <w:t>C4. Operational Capacity — 20% Weight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Level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Criteria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Excellent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Capacity utilization &lt;70%; deep bench of licensed architects and engineers; proven scalability; multiple office locations; documented succession planning; low staff turnover (&lt;15%)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Good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Capacity utilization 70–85%; adequate licensed staff for proposed work; some scalability demonstrated; key-person backup plans in place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Fair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Capacity utilization 85–95%; limited licensed staff depth; key-person dependency risk; limited scalability; staff turnover concerns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Poor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Capacity utilization &gt;95%; critical shortage of licensed professionals; single points of failure; high staff turnover (&gt;30%); overextended across projects</w:t>
            </w:r>
          </w:p>
        </w:tc>
      </w:tr>
    </w:tbl>
    <w:p>
      <w:pPr>
        <w:pStyle w:val="Heading3"/>
      </w:pPr>
      <w:r>
        <w:rPr>
          <w:color w:val="232F3E"/>
        </w:rPr>
        <w:t>C5. Compliance Record — 5% Weight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Level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Criteria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Excellent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Zero regulatory violations in 5 years; all professional licenses current across all jurisdictions; proactive compliance program; ADA compliance expertise documented; third-party certifications (ISO, LEED, WELL)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Good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Minor violations only with prompt remediation; all licenses current; documented compliance program; regular ADA training; some third-party certifications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Fair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Some violations with remediation in progress; occasional license lapses (corrected); basic compliance meeting minimum requirements; limited ADA expertise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Poor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Significant violations; professional board disciplinary actions; license suspensions; inadequate compliance program; ADA compliance failures on past projects</w:t>
            </w:r>
          </w:p>
        </w:tc>
      </w:tr>
    </w:tbl>
    <w:p>
      <w:pPr>
        <w:pStyle w:val="Heading3"/>
      </w:pPr>
      <w:r>
        <w:rPr>
          <w:color w:val="232F3E"/>
        </w:rPr>
        <w:t>C6. Technology Capabilities — 5% Weight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Level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Criteria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Excellent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Advanced BIM (Revit LOD 400+); photorealistic 3D rendering; VR/AR design review capabilities; energy modeling (EnergyPlus/eQUEST); SOC 2 or ISO 27001 certified; Procore/BIM 360 proficiency; digital twin deliverables; clash detection expertise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Good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Standard BIM (Revit LOD 300); quality 3D visualization; basic energy modeling; documented cybersecurity policies; standard collaboration platforms; adequate reporting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Fair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Limited BIM adoption (LOD 200 or below); basic 3D capabilities; no energy modeling; minimal cybersecurity measures; fragmented collaboration tools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Poor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2D CAD only; no BIM capability; no 3D visualization; no sustainability modeling tools; no cybersecurity program; paper-based document management</w:t>
            </w:r>
          </w:p>
        </w:tc>
      </w:tr>
    </w:tbl>
    <w:p/>
    <w:p>
      <w:pPr>
        <w:pStyle w:val="Heading2"/>
      </w:pPr>
      <w:r>
        <w:rPr>
          <w:color w:val="232F3E"/>
        </w:rPr>
        <w:t>SECTION D: Risk Level Definitions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18"/>
              </w:rPr>
              <w:t>Composite Score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Risk Level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Color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Decision Framework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320–400 pts (80–100%)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LOW RISK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● GREEN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APPROVE — Category Manager / L6/L6 authorization; standard MSA terms; routine monitoring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240–319 pts (60–79%)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MEDIUM RISK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● YELLOW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CONDITIONAL APPROVAL — Executive Leader/L7 authorization; enhanced monitoring; quarterly reviews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160–239 pts (40–59%)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HIGH RISK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● ORANGE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EXECUTIVE REVIEW REQUIRED — Director/L8 authorization; weekly reporting; dedicated oversight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&lt; 160 pts (&lt; 40%)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CRITICAL RISK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● RED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NOT RECOMMENDED — Disqualify; formal rejection letter; 12-month waiting period for re-application</w:t>
            </w:r>
          </w:p>
        </w:tc>
      </w:tr>
    </w:tbl>
    <w:p/>
    <w:p>
      <w:pPr>
        <w:pStyle w:val="Heading2"/>
      </w:pPr>
      <w:r>
        <w:rPr>
          <w:color w:val="232F3E"/>
        </w:rPr>
        <w:t>SECTION E: Calculation Methodology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Step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Description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Step 1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Screen for Critical Risk Indicators — Review all 7 indicators in Section A. Any single Fail triggers automatic escalation. Do not proceed with scoring until Section A is complete.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Step 2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Score Each Category (1–4 Scale) — Using rubrics in Section C, assign a score for each of the 6 risk categories. Document evidence basis.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Step 3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Apply Category Weights — Multiply each category score by its weight percentage × 100 to calculate weighted score.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Step 4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Calculate Composite Score — Sum all 6 weighted scores. Maximum achievable is 400 points.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Step 5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Map to Risk Level — Using Section D thresholds, identify risk tier and apply decision framework from Section F.</w:t>
            </w:r>
          </w:p>
        </w:tc>
      </w:tr>
    </w:tbl>
    <w:p/>
    <w:p>
      <w:pPr>
        <w:pStyle w:val="Heading2"/>
      </w:pPr>
      <w:r>
        <w:rPr>
          <w:color w:val="232F3E"/>
        </w:rPr>
        <w:t>WORKED EXAMPLE — Architecture &amp; Design Firm Evaluation</w:t>
      </w:r>
    </w:p>
    <w:p>
      <w:r>
        <w:t>Scenario: WWRGD is evaluating DesignCo Architects, a mid-market architecture firm, for a retail store design program. Section A Result: All 7 CRIs passed.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  <w:sz w:val="18"/>
              </w:rPr>
              <w:t>Risk Category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Score (1–4)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Weight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Weighted Score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Score Basis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Financial Stability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30%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75 pts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D/E ratio 0.6; E&amp;O coverage adequate; reviewed financials; stable revenue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Safety Performance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20%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80 pts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Zero incidents 3 years; comprehensive site safety; zero liability claims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Quality / Performance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20%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80 pts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On-time 92%; CD error rate 4%; client retention 85%; CPI 0.93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Operational Capacity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20%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45 pts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Utilization 75%; 8 licensed architects; adequate bench strength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Compliance Record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10%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20 pts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Zero violations; all licenses current; LEED AP on staff; ISO certified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Technology Capabilities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10%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30 pts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Revit LOD 300; good 3D viz; basic energy modeling; Procore proficient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COMPOSITE TOTAL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100%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330 pts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LOW RISK — Green Tier</w:t>
            </w:r>
          </w:p>
        </w:tc>
      </w:tr>
    </w:tbl>
    <w:p>
      <w:r>
        <w:t>RESULT: DesignCo scores 330/400 (82.5%), placing it in the LOW RISK (Green) tier. Category Manager / L6 may approve under standard MSA terms.</w:t>
      </w:r>
    </w:p>
    <w:p/>
    <w:p>
      <w:pPr>
        <w:pStyle w:val="Heading2"/>
      </w:pPr>
      <w:r>
        <w:rPr>
          <w:color w:val="232F3E"/>
        </w:rPr>
        <w:t>SECTION F: Decision-Making Framework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18"/>
              </w:rPr>
              <w:t>Risk Level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Approval Authority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Required Actions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Contract Enhancements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LOW RISK</w:t>
              <w:br/>
              <w:t>320–400 pts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Category Manager / L6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Standard due diligence; annual re-scoring; quarterly business reviews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Standard MSA terms; standard E&amp;O requirements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MEDIUM RISK</w:t>
              <w:br/>
              <w:t>240–319 pts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Executive Leader / L7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Enhanced monitoring; quarterly reviews; semi-annual re-scoring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Performance guarantees; enhanced E&amp;O requirements; milestone-based payments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HIGH RISK</w:t>
              <w:br/>
              <w:t>160–239 pts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Director / L8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Weekly reporting; dedicated oversight; monthly re-scoring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Increased retainage; reduced scope; mandatory peer review of all deliverables; enhanced E&amp;O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CRITICAL RISK</w:t>
              <w:br/>
              <w:t>&lt; 160 pts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DISQUALIFY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Issue formal rejection letter; document basis; 12-month waiting period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N/A — No engagement permitted</w:t>
            </w:r>
          </w:p>
        </w:tc>
      </w:tr>
    </w:tbl>
    <w:p/>
    <w:p>
      <w:r>
        <w:rPr>
          <w:color w:val="999999"/>
          <w:sz w:val="16"/>
        </w:rPr>
        <w:t>WWRGD Architecture &amp; Design Vendor Risk Scoring Matrix  |  Document ID: WWRGD-RSM-AD-001  |  Version 1.0</w:t>
      </w:r>
    </w:p>
    <w:p>
      <w:r>
        <w:rPr>
          <w:color w:val="999999"/>
          <w:sz w:val="16"/>
        </w:rPr>
        <w:t>Companion to: WWRGD Architecture &amp; Design Vendor RFI (WWRGD_Architecture_Design_Vendor_RFI.xlsx)  |  Effective Date: April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