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D22AE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B3A6B"/>
            <w:tcMar>
              <w:top w:w="200" w:type="dxa"/>
              <w:left w:w="360" w:type="dxa"/>
              <w:bottom w:w="200" w:type="dxa"/>
              <w:right w:w="360" w:type="dxa"/>
            </w:tcMar>
          </w:tcPr>
          <w:p w:rsidR="00D22AE7" w:rsidRDefault="005A1FFD">
            <w:pPr>
              <w:jc w:val="center"/>
            </w:pPr>
            <w:r>
              <w:rPr>
                <w:b/>
                <w:bCs/>
                <w:color w:val="FFFFFF"/>
                <w:sz w:val="52"/>
                <w:szCs w:val="52"/>
              </w:rPr>
              <w:t>WWRGD</w:t>
            </w:r>
          </w:p>
          <w:p w:rsidR="00D22AE7" w:rsidRDefault="005A1FFD">
            <w:pPr>
              <w:jc w:val="center"/>
            </w:pPr>
            <w:r>
              <w:rPr>
                <w:color w:val="C7D8F0"/>
              </w:rPr>
              <w:t>Worldwide Responsible General Development</w:t>
            </w:r>
          </w:p>
        </w:tc>
      </w:tr>
    </w:tbl>
    <w:p w:rsidR="00D22AE7" w:rsidRDefault="00D22AE7">
      <w:pPr>
        <w:spacing w:before="320" w:after="0"/>
      </w:pPr>
    </w:p>
    <w:p w:rsidR="00D22AE7" w:rsidRDefault="005A1FFD">
      <w:pPr>
        <w:spacing w:after="60"/>
        <w:jc w:val="center"/>
      </w:pPr>
      <w:r>
        <w:rPr>
          <w:b/>
          <w:bCs/>
          <w:color w:val="1B3A6B"/>
          <w:sz w:val="44"/>
          <w:szCs w:val="44"/>
        </w:rPr>
        <w:t>General Vendor Risk Scoring Matrix</w:t>
      </w:r>
    </w:p>
    <w:p w:rsidR="00D22AE7" w:rsidRDefault="005A1FFD">
      <w:pPr>
        <w:spacing w:after="60"/>
        <w:jc w:val="center"/>
      </w:pPr>
      <w:r>
        <w:rPr>
          <w:color w:val="4A6FA5"/>
          <w:sz w:val="26"/>
          <w:szCs w:val="26"/>
        </w:rPr>
        <w:t>Universal Vendor Evaluation Framework</w:t>
      </w:r>
    </w:p>
    <w:p w:rsidR="00D22AE7" w:rsidRDefault="005A1FFD">
      <w:pPr>
        <w:spacing w:after="60"/>
        <w:jc w:val="center"/>
      </w:pPr>
      <w:r>
        <w:rPr>
          <w:i/>
          <w:iCs/>
          <w:color w:val="6B7280"/>
          <w:sz w:val="20"/>
          <w:szCs w:val="20"/>
        </w:rPr>
        <w:t>Companion Document to: WWRGD General Vendor RFI (WWRGD_General_Vendor_RFI.xlsx)</w:t>
      </w:r>
    </w:p>
    <w:p w:rsidR="00D22AE7" w:rsidRDefault="00D22AE7">
      <w:pPr>
        <w:spacing w:before="160" w:after="0"/>
      </w:pP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40"/>
        <w:gridCol w:w="2340"/>
        <w:gridCol w:w="2340"/>
        <w:gridCol w:w="2340"/>
      </w:tblGrid>
      <w:tr w:rsidR="00D22AE7">
        <w:tblPrEx>
          <w:tblCellMar>
            <w:top w:w="0" w:type="dxa"/>
            <w:bottom w:w="0" w:type="dxa"/>
          </w:tblCellMar>
        </w:tblPrEx>
        <w:trPr>
          <w:tblHeader/>
        </w:trPr>
        <w:tc>
          <w:tcPr>
            <w:tcW w:w="2340" w:type="dxa"/>
            <w:tcBorders>
              <w:top w:val="single" w:sz="6" w:space="0" w:color="B8C5D6"/>
              <w:left w:val="single" w:sz="6" w:space="0" w:color="B8C5D6"/>
              <w:bottom w:val="single" w:sz="6" w:space="0" w:color="B8C5D6"/>
              <w:right w:val="single" w:sz="6" w:space="0" w:color="B8C5D6"/>
            </w:tcBorders>
            <w:shd w:val="clear" w:color="auto" w:fill="1B3A6B"/>
            <w:tcMar>
              <w:top w:w="100" w:type="dxa"/>
              <w:left w:w="100" w:type="dxa"/>
              <w:bottom w:w="100" w:type="dxa"/>
              <w:right w:w="100" w:type="dxa"/>
            </w:tcMar>
            <w:vAlign w:val="center"/>
          </w:tcPr>
          <w:p w:rsidR="00D22AE7" w:rsidRDefault="005A1FFD">
            <w:pPr>
              <w:jc w:val="center"/>
            </w:pPr>
            <w:r>
              <w:rPr>
                <w:b/>
                <w:bCs/>
                <w:color w:val="FFFFFF"/>
                <w:sz w:val="20"/>
                <w:szCs w:val="20"/>
              </w:rPr>
              <w:t>Document Type</w:t>
            </w:r>
          </w:p>
        </w:tc>
        <w:tc>
          <w:tcPr>
            <w:tcW w:w="2340" w:type="dxa"/>
            <w:tcBorders>
              <w:top w:val="single" w:sz="6" w:space="0" w:color="B8C5D6"/>
              <w:left w:val="single" w:sz="6" w:space="0" w:color="B8C5D6"/>
              <w:bottom w:val="single" w:sz="6" w:space="0" w:color="B8C5D6"/>
              <w:right w:val="single" w:sz="6" w:space="0" w:color="B8C5D6"/>
            </w:tcBorders>
            <w:shd w:val="clear" w:color="auto" w:fill="1B3A6B"/>
            <w:tcMar>
              <w:top w:w="100" w:type="dxa"/>
              <w:left w:w="100" w:type="dxa"/>
              <w:bottom w:w="100" w:type="dxa"/>
              <w:right w:w="100" w:type="dxa"/>
            </w:tcMar>
            <w:vAlign w:val="center"/>
          </w:tcPr>
          <w:p w:rsidR="00D22AE7" w:rsidRDefault="005A1FFD">
            <w:pPr>
              <w:jc w:val="center"/>
            </w:pPr>
            <w:r>
              <w:rPr>
                <w:b/>
                <w:bCs/>
                <w:color w:val="FFFFFF"/>
                <w:sz w:val="20"/>
                <w:szCs w:val="20"/>
              </w:rPr>
              <w:t>Version</w:t>
            </w:r>
          </w:p>
        </w:tc>
        <w:tc>
          <w:tcPr>
            <w:tcW w:w="2340" w:type="dxa"/>
            <w:tcBorders>
              <w:top w:val="single" w:sz="6" w:space="0" w:color="B8C5D6"/>
              <w:left w:val="single" w:sz="6" w:space="0" w:color="B8C5D6"/>
              <w:bottom w:val="single" w:sz="6" w:space="0" w:color="B8C5D6"/>
              <w:right w:val="single" w:sz="6" w:space="0" w:color="B8C5D6"/>
            </w:tcBorders>
            <w:shd w:val="clear" w:color="auto" w:fill="1B3A6B"/>
            <w:tcMar>
              <w:top w:w="100" w:type="dxa"/>
              <w:left w:w="100" w:type="dxa"/>
              <w:bottom w:w="100" w:type="dxa"/>
              <w:right w:w="100" w:type="dxa"/>
            </w:tcMar>
            <w:vAlign w:val="center"/>
          </w:tcPr>
          <w:p w:rsidR="00D22AE7" w:rsidRDefault="005A1FFD">
            <w:pPr>
              <w:jc w:val="center"/>
            </w:pPr>
            <w:r>
              <w:rPr>
                <w:b/>
                <w:bCs/>
                <w:color w:val="FFFFFF"/>
                <w:sz w:val="20"/>
                <w:szCs w:val="20"/>
              </w:rPr>
              <w:t>Applies To</w:t>
            </w:r>
          </w:p>
        </w:tc>
        <w:tc>
          <w:tcPr>
            <w:tcW w:w="2340" w:type="dxa"/>
            <w:tcBorders>
              <w:top w:val="single" w:sz="6" w:space="0" w:color="B8C5D6"/>
              <w:left w:val="single" w:sz="6" w:space="0" w:color="B8C5D6"/>
              <w:bottom w:val="single" w:sz="6" w:space="0" w:color="B8C5D6"/>
              <w:right w:val="single" w:sz="6" w:space="0" w:color="B8C5D6"/>
            </w:tcBorders>
            <w:shd w:val="clear" w:color="auto" w:fill="1B3A6B"/>
            <w:tcMar>
              <w:top w:w="100" w:type="dxa"/>
              <w:left w:w="100" w:type="dxa"/>
              <w:bottom w:w="100" w:type="dxa"/>
              <w:right w:w="100" w:type="dxa"/>
            </w:tcMar>
            <w:vAlign w:val="center"/>
          </w:tcPr>
          <w:p w:rsidR="00D22AE7" w:rsidRDefault="005A1FFD">
            <w:pPr>
              <w:jc w:val="center"/>
            </w:pPr>
            <w:r>
              <w:rPr>
                <w:b/>
                <w:bCs/>
                <w:color w:val="FFFFFF"/>
                <w:sz w:val="20"/>
                <w:szCs w:val="20"/>
              </w:rPr>
              <w:t>Reference</w:t>
            </w:r>
          </w:p>
        </w:tc>
      </w:tr>
      <w:tr w:rsidR="00D22AE7">
        <w:tblPrEx>
          <w:tblCellMar>
            <w:top w:w="0" w:type="dxa"/>
            <w:bottom w:w="0" w:type="dxa"/>
          </w:tblCellMar>
        </w:tblPrEx>
        <w:tc>
          <w:tcPr>
            <w:tcW w:w="2340" w:type="dxa"/>
            <w:tcBorders>
              <w:top w:val="single" w:sz="6" w:space="0" w:color="B8C5D6"/>
              <w:left w:val="single" w:sz="6" w:space="0" w:color="B8C5D6"/>
              <w:bottom w:val="single" w:sz="6" w:space="0" w:color="B8C5D6"/>
              <w:right w:val="single" w:sz="6" w:space="0" w:color="B8C5D6"/>
            </w:tcBorders>
            <w:shd w:val="clear" w:color="auto" w:fill="F0F4FA"/>
            <w:tcMar>
              <w:top w:w="80" w:type="dxa"/>
              <w:left w:w="100" w:type="dxa"/>
              <w:bottom w:w="80" w:type="dxa"/>
              <w:right w:w="100" w:type="dxa"/>
            </w:tcMar>
            <w:vAlign w:val="center"/>
          </w:tcPr>
          <w:p w:rsidR="00D22AE7" w:rsidRDefault="005A1FFD">
            <w:pPr>
              <w:jc w:val="center"/>
            </w:pPr>
            <w:r>
              <w:rPr>
                <w:color w:val="000000"/>
                <w:sz w:val="20"/>
                <w:szCs w:val="20"/>
              </w:rPr>
              <w:t>Risk Scoring Matrix</w:t>
            </w:r>
          </w:p>
        </w:tc>
        <w:tc>
          <w:tcPr>
            <w:tcW w:w="2340" w:type="dxa"/>
            <w:tcBorders>
              <w:top w:val="single" w:sz="6" w:space="0" w:color="B8C5D6"/>
              <w:left w:val="single" w:sz="6" w:space="0" w:color="B8C5D6"/>
              <w:bottom w:val="single" w:sz="6" w:space="0" w:color="B8C5D6"/>
              <w:right w:val="single" w:sz="6" w:space="0" w:color="B8C5D6"/>
            </w:tcBorders>
            <w:shd w:val="clear" w:color="auto" w:fill="F0F4FA"/>
            <w:tcMar>
              <w:top w:w="80" w:type="dxa"/>
              <w:left w:w="100" w:type="dxa"/>
              <w:bottom w:w="80" w:type="dxa"/>
              <w:right w:w="100" w:type="dxa"/>
            </w:tcMar>
            <w:vAlign w:val="center"/>
          </w:tcPr>
          <w:p w:rsidR="00D22AE7" w:rsidRDefault="005A1FFD">
            <w:pPr>
              <w:jc w:val="center"/>
            </w:pPr>
            <w:r>
              <w:rPr>
                <w:color w:val="000000"/>
                <w:sz w:val="20"/>
                <w:szCs w:val="20"/>
              </w:rPr>
              <w:t>1.0</w:t>
            </w:r>
          </w:p>
        </w:tc>
        <w:tc>
          <w:tcPr>
            <w:tcW w:w="2340" w:type="dxa"/>
            <w:tcBorders>
              <w:top w:val="single" w:sz="6" w:space="0" w:color="B8C5D6"/>
              <w:left w:val="single" w:sz="6" w:space="0" w:color="B8C5D6"/>
              <w:bottom w:val="single" w:sz="6" w:space="0" w:color="B8C5D6"/>
              <w:right w:val="single" w:sz="6" w:space="0" w:color="B8C5D6"/>
            </w:tcBorders>
            <w:shd w:val="clear" w:color="auto" w:fill="F0F4FA"/>
            <w:tcMar>
              <w:top w:w="80" w:type="dxa"/>
              <w:left w:w="100" w:type="dxa"/>
              <w:bottom w:w="80" w:type="dxa"/>
              <w:right w:w="100" w:type="dxa"/>
            </w:tcMar>
            <w:vAlign w:val="center"/>
          </w:tcPr>
          <w:p w:rsidR="00D22AE7" w:rsidRDefault="005A1FFD">
            <w:pPr>
              <w:jc w:val="center"/>
            </w:pPr>
            <w:r>
              <w:rPr>
                <w:color w:val="000000"/>
                <w:sz w:val="20"/>
                <w:szCs w:val="20"/>
              </w:rPr>
              <w:t>All Non-GC Vendors</w:t>
            </w:r>
          </w:p>
        </w:tc>
        <w:tc>
          <w:tcPr>
            <w:tcW w:w="2340" w:type="dxa"/>
            <w:tcBorders>
              <w:top w:val="single" w:sz="6" w:space="0" w:color="B8C5D6"/>
              <w:left w:val="single" w:sz="6" w:space="0" w:color="B8C5D6"/>
              <w:bottom w:val="single" w:sz="6" w:space="0" w:color="B8C5D6"/>
              <w:right w:val="single" w:sz="6" w:space="0" w:color="B8C5D6"/>
            </w:tcBorders>
            <w:shd w:val="clear" w:color="auto" w:fill="F0F4FA"/>
            <w:tcMar>
              <w:top w:w="80" w:type="dxa"/>
              <w:left w:w="100" w:type="dxa"/>
              <w:bottom w:w="80" w:type="dxa"/>
              <w:right w:w="100" w:type="dxa"/>
            </w:tcMar>
            <w:vAlign w:val="center"/>
          </w:tcPr>
          <w:p w:rsidR="00D22AE7" w:rsidRDefault="005A1FFD">
            <w:pPr>
              <w:jc w:val="center"/>
            </w:pPr>
            <w:r>
              <w:rPr>
                <w:color w:val="000000"/>
                <w:sz w:val="20"/>
                <w:szCs w:val="20"/>
              </w:rPr>
              <w:t>WWRGD-RSM-GV-001</w:t>
            </w:r>
          </w:p>
        </w:tc>
      </w:tr>
    </w:tbl>
    <w:p w:rsidR="00D22AE7" w:rsidRDefault="00D22AE7">
      <w:pPr>
        <w:spacing w:before="200" w:after="0"/>
      </w:pP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D22AE7">
        <w:tblPrEx>
          <w:tblCellMar>
            <w:top w:w="0" w:type="dxa"/>
            <w:bottom w:w="0" w:type="dxa"/>
          </w:tblCellMar>
        </w:tblPrEx>
        <w:tc>
          <w:tcPr>
            <w:tcW w:w="9360" w:type="dxa"/>
            <w:tcBorders>
              <w:top w:val="single" w:sz="12" w:space="0" w:color="4A6FA5"/>
              <w:left w:val="single" w:sz="12" w:space="0" w:color="4A6FA5"/>
              <w:bottom w:val="single" w:sz="12" w:space="0" w:color="4A6FA5"/>
              <w:right w:val="single" w:sz="12" w:space="0" w:color="4A6FA5"/>
            </w:tcBorders>
            <w:shd w:val="clear" w:color="auto" w:fill="EBF2FB"/>
            <w:tcMar>
              <w:top w:w="160" w:type="dxa"/>
              <w:left w:w="240" w:type="dxa"/>
              <w:bottom w:w="160" w:type="dxa"/>
              <w:right w:w="240" w:type="dxa"/>
            </w:tcMar>
          </w:tcPr>
          <w:p w:rsidR="00D22AE7" w:rsidRDefault="005A1FFD">
            <w:r>
              <w:rPr>
                <w:b/>
                <w:bCs/>
                <w:color w:val="1B3A6B"/>
              </w:rPr>
              <w:t>SCOPE &amp; PURPOSE</w:t>
            </w:r>
          </w:p>
          <w:p w:rsidR="00D22AE7" w:rsidRDefault="005A1FFD">
            <w:pPr>
              <w:spacing w:before="80"/>
            </w:pPr>
            <w:r>
              <w:rPr>
                <w:color w:val="374151"/>
                <w:sz w:val="20"/>
                <w:szCs w:val="20"/>
              </w:rPr>
              <w:t>This matrix adapts the WWRGD General Contractor Risk Scoring Matrix into a universal vendor evaluation framework for non-general-contractor vendors. It provides a consistent, quantitative method for assessing vendor risk across five vendor categories: Prof</w:t>
            </w:r>
            <w:r>
              <w:rPr>
                <w:color w:val="374151"/>
                <w:sz w:val="20"/>
                <w:szCs w:val="20"/>
              </w:rPr>
              <w:t>essional Services, Technology/Software, Facilities Management, Logistics/Transportation, and Equipment/Material Suppliers. The 400-point scoring system, six weighted risk categories, and four-tier risk classification are maintained from the original GC fra</w:t>
            </w:r>
            <w:r>
              <w:rPr>
                <w:color w:val="374151"/>
                <w:sz w:val="20"/>
                <w:szCs w:val="20"/>
              </w:rPr>
              <w:t>mework to ensure cross-portfolio comparability.</w:t>
            </w:r>
          </w:p>
        </w:tc>
      </w:tr>
    </w:tbl>
    <w:p w:rsidR="00D22AE7" w:rsidRDefault="00D22AE7">
      <w:pPr>
        <w:spacing w:before="200" w:after="0"/>
      </w:pP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D22AE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B3A6B"/>
            <w:tcMar>
              <w:top w:w="140" w:type="dxa"/>
              <w:left w:w="200" w:type="dxa"/>
              <w:bottom w:w="140" w:type="dxa"/>
              <w:right w:w="200" w:type="dxa"/>
            </w:tcMar>
          </w:tcPr>
          <w:p w:rsidR="00D22AE7" w:rsidRDefault="005A1FFD">
            <w:r>
              <w:rPr>
                <w:b/>
                <w:bCs/>
                <w:color w:val="FFFFFF"/>
                <w:sz w:val="28"/>
                <w:szCs w:val="28"/>
              </w:rPr>
              <w:t>SECTION A: Critical Risk Indicators (Automatic Disqualification)</w:t>
            </w:r>
          </w:p>
        </w:tc>
      </w:tr>
    </w:tbl>
    <w:p w:rsidR="00D22AE7" w:rsidRDefault="00D22AE7">
      <w:pPr>
        <w:spacing w:before="100" w:after="0"/>
      </w:pPr>
    </w:p>
    <w:p w:rsidR="00D22AE7" w:rsidRDefault="005A1FFD">
      <w:pPr>
        <w:spacing w:after="100" w:line="264" w:lineRule="auto"/>
      </w:pPr>
      <w:r>
        <w:t>The following indicators represent conditions that require immediate escalation and may result in automatic disqualification from vendor consideration, regardless of composite scoring. Any single failure should trigger review by the appropriate approval au</w:t>
      </w:r>
      <w:r>
        <w:t>thority.</w:t>
      </w:r>
    </w:p>
    <w:p w:rsidR="00D22AE7" w:rsidRDefault="00D22AE7">
      <w:pPr>
        <w:spacing w:before="80" w:after="0"/>
      </w:pP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3000"/>
        <w:gridCol w:w="1680"/>
        <w:gridCol w:w="1680"/>
      </w:tblGrid>
      <w:tr w:rsidR="00D22AE7">
        <w:tblPrEx>
          <w:tblCellMar>
            <w:top w:w="0" w:type="dxa"/>
            <w:bottom w:w="0" w:type="dxa"/>
          </w:tblCellMar>
        </w:tblPrEx>
        <w:trPr>
          <w:tblHeader/>
        </w:trPr>
        <w:tc>
          <w:tcPr>
            <w:tcW w:w="3000" w:type="dxa"/>
            <w:tcBorders>
              <w:top w:val="single" w:sz="6" w:space="0" w:color="B8C5D6"/>
              <w:left w:val="single" w:sz="6" w:space="0" w:color="B8C5D6"/>
              <w:bottom w:val="single" w:sz="6" w:space="0" w:color="B8C5D6"/>
              <w:right w:val="single" w:sz="6" w:space="0" w:color="B8C5D6"/>
            </w:tcBorders>
            <w:shd w:val="clear" w:color="auto" w:fill="1B3A6B"/>
            <w:tcMar>
              <w:top w:w="100" w:type="dxa"/>
              <w:left w:w="100" w:type="dxa"/>
              <w:bottom w:w="100" w:type="dxa"/>
              <w:right w:w="100" w:type="dxa"/>
            </w:tcMar>
            <w:vAlign w:val="center"/>
          </w:tcPr>
          <w:p w:rsidR="00D22AE7" w:rsidRDefault="005A1FFD">
            <w:pPr>
              <w:jc w:val="center"/>
            </w:pPr>
            <w:r>
              <w:rPr>
                <w:b/>
                <w:bCs/>
                <w:color w:val="FFFFFF"/>
                <w:sz w:val="20"/>
                <w:szCs w:val="20"/>
              </w:rPr>
              <w:t>Critical Risk Indicator</w:t>
            </w:r>
          </w:p>
        </w:tc>
        <w:tc>
          <w:tcPr>
            <w:tcW w:w="3000" w:type="dxa"/>
            <w:tcBorders>
              <w:top w:val="single" w:sz="6" w:space="0" w:color="B8C5D6"/>
              <w:left w:val="single" w:sz="6" w:space="0" w:color="B8C5D6"/>
              <w:bottom w:val="single" w:sz="6" w:space="0" w:color="B8C5D6"/>
              <w:right w:val="single" w:sz="6" w:space="0" w:color="B8C5D6"/>
            </w:tcBorders>
            <w:shd w:val="clear" w:color="auto" w:fill="1B3A6B"/>
            <w:tcMar>
              <w:top w:w="100" w:type="dxa"/>
              <w:left w:w="100" w:type="dxa"/>
              <w:bottom w:w="100" w:type="dxa"/>
              <w:right w:w="100" w:type="dxa"/>
            </w:tcMar>
            <w:vAlign w:val="center"/>
          </w:tcPr>
          <w:p w:rsidR="00D22AE7" w:rsidRDefault="005A1FFD">
            <w:pPr>
              <w:jc w:val="center"/>
            </w:pPr>
            <w:r>
              <w:rPr>
                <w:b/>
                <w:bCs/>
                <w:color w:val="FFFFFF"/>
                <w:sz w:val="20"/>
                <w:szCs w:val="20"/>
              </w:rPr>
              <w:t>Threshold / Disqualifying Condition</w:t>
            </w:r>
          </w:p>
        </w:tc>
        <w:tc>
          <w:tcPr>
            <w:tcW w:w="1680" w:type="dxa"/>
            <w:tcBorders>
              <w:top w:val="single" w:sz="6" w:space="0" w:color="B8C5D6"/>
              <w:left w:val="single" w:sz="6" w:space="0" w:color="B8C5D6"/>
              <w:bottom w:val="single" w:sz="6" w:space="0" w:color="B8C5D6"/>
              <w:right w:val="single" w:sz="6" w:space="0" w:color="B8C5D6"/>
            </w:tcBorders>
            <w:shd w:val="clear" w:color="auto" w:fill="1B3A6B"/>
            <w:tcMar>
              <w:top w:w="100" w:type="dxa"/>
              <w:left w:w="100" w:type="dxa"/>
              <w:bottom w:w="100" w:type="dxa"/>
              <w:right w:w="100" w:type="dxa"/>
            </w:tcMar>
            <w:vAlign w:val="center"/>
          </w:tcPr>
          <w:p w:rsidR="00D22AE7" w:rsidRDefault="005A1FFD">
            <w:pPr>
              <w:jc w:val="center"/>
            </w:pPr>
            <w:r>
              <w:rPr>
                <w:b/>
                <w:bCs/>
                <w:color w:val="FFFFFF"/>
                <w:sz w:val="20"/>
                <w:szCs w:val="20"/>
              </w:rPr>
              <w:t>Pass</w:t>
            </w:r>
          </w:p>
        </w:tc>
        <w:tc>
          <w:tcPr>
            <w:tcW w:w="1680" w:type="dxa"/>
            <w:tcBorders>
              <w:top w:val="single" w:sz="6" w:space="0" w:color="B8C5D6"/>
              <w:left w:val="single" w:sz="6" w:space="0" w:color="B8C5D6"/>
              <w:bottom w:val="single" w:sz="6" w:space="0" w:color="B8C5D6"/>
              <w:right w:val="single" w:sz="6" w:space="0" w:color="B8C5D6"/>
            </w:tcBorders>
            <w:shd w:val="clear" w:color="auto" w:fill="1B3A6B"/>
            <w:tcMar>
              <w:top w:w="100" w:type="dxa"/>
              <w:left w:w="100" w:type="dxa"/>
              <w:bottom w:w="100" w:type="dxa"/>
              <w:right w:w="100" w:type="dxa"/>
            </w:tcMar>
            <w:vAlign w:val="center"/>
          </w:tcPr>
          <w:p w:rsidR="00D22AE7" w:rsidRDefault="005A1FFD">
            <w:pPr>
              <w:jc w:val="center"/>
            </w:pPr>
            <w:r>
              <w:rPr>
                <w:b/>
                <w:bCs/>
                <w:color w:val="FFFFFF"/>
                <w:sz w:val="20"/>
                <w:szCs w:val="20"/>
              </w:rPr>
              <w:t>Fail</w:t>
            </w:r>
          </w:p>
        </w:tc>
      </w:tr>
      <w:tr w:rsidR="00D22AE7">
        <w:tblPrEx>
          <w:tblCellMar>
            <w:top w:w="0" w:type="dxa"/>
            <w:bottom w:w="0" w:type="dxa"/>
          </w:tblCellMar>
        </w:tblPrEx>
        <w:tc>
          <w:tcPr>
            <w:tcW w:w="3000" w:type="dxa"/>
            <w:tcBorders>
              <w:top w:val="single" w:sz="6" w:space="0" w:color="B8C5D6"/>
              <w:left w:val="single" w:sz="6" w:space="0" w:color="B8C5D6"/>
              <w:bottom w:val="single" w:sz="6" w:space="0" w:color="B8C5D6"/>
              <w:right w:val="single" w:sz="6" w:space="0" w:color="B8C5D6"/>
            </w:tcBorders>
            <w:shd w:val="clear" w:color="auto" w:fill="FFF8F8"/>
            <w:tcMar>
              <w:top w:w="80" w:type="dxa"/>
              <w:left w:w="100" w:type="dxa"/>
              <w:bottom w:w="80" w:type="dxa"/>
              <w:right w:w="100" w:type="dxa"/>
            </w:tcMar>
            <w:vAlign w:val="center"/>
          </w:tcPr>
          <w:p w:rsidR="00D22AE7" w:rsidRDefault="005A1FFD">
            <w:r>
              <w:rPr>
                <w:b/>
                <w:bCs/>
                <w:color w:val="000000"/>
                <w:sz w:val="20"/>
                <w:szCs w:val="20"/>
              </w:rPr>
              <w:t>Active Litigation / Legal Proceedings</w:t>
            </w:r>
          </w:p>
        </w:tc>
        <w:tc>
          <w:tcPr>
            <w:tcW w:w="3000" w:type="dxa"/>
            <w:tcBorders>
              <w:top w:val="single" w:sz="6" w:space="0" w:color="B8C5D6"/>
              <w:left w:val="single" w:sz="6" w:space="0" w:color="B8C5D6"/>
              <w:bottom w:val="single" w:sz="6" w:space="0" w:color="B8C5D6"/>
              <w:right w:val="single" w:sz="6" w:space="0" w:color="B8C5D6"/>
            </w:tcBorders>
            <w:shd w:val="clear" w:color="auto" w:fill="FFF8F8"/>
            <w:tcMar>
              <w:top w:w="80" w:type="dxa"/>
              <w:left w:w="100" w:type="dxa"/>
              <w:bottom w:w="80" w:type="dxa"/>
              <w:right w:w="100" w:type="dxa"/>
            </w:tcMar>
            <w:vAlign w:val="center"/>
          </w:tcPr>
          <w:p w:rsidR="00D22AE7" w:rsidRDefault="005A1FFD">
            <w:r>
              <w:rPr>
                <w:color w:val="000000"/>
                <w:sz w:val="20"/>
                <w:szCs w:val="20"/>
              </w:rPr>
              <w:t>Pending or active litigation exceeding $1M, or material claims with significant liability exposure relative to engagement value</w:t>
            </w:r>
          </w:p>
        </w:tc>
        <w:tc>
          <w:tcPr>
            <w:tcW w:w="1680" w:type="dxa"/>
            <w:tcBorders>
              <w:top w:val="single" w:sz="6" w:space="0" w:color="B8C5D6"/>
              <w:left w:val="single" w:sz="6" w:space="0" w:color="B8C5D6"/>
              <w:bottom w:val="single" w:sz="6" w:space="0" w:color="B8C5D6"/>
              <w:right w:val="single" w:sz="6" w:space="0" w:color="B8C5D6"/>
            </w:tcBorders>
            <w:shd w:val="clear" w:color="auto" w:fill="F0FFF0"/>
            <w:tcMar>
              <w:top w:w="80" w:type="dxa"/>
              <w:left w:w="100" w:type="dxa"/>
              <w:bottom w:w="80" w:type="dxa"/>
              <w:right w:w="100" w:type="dxa"/>
            </w:tcMar>
            <w:vAlign w:val="center"/>
          </w:tcPr>
          <w:p w:rsidR="00D22AE7" w:rsidRDefault="005A1FFD">
            <w:pPr>
              <w:jc w:val="center"/>
            </w:pPr>
            <w:r>
              <w:rPr>
                <w:color w:val="000000"/>
              </w:rPr>
              <w:t>☐</w:t>
            </w:r>
            <w:r>
              <w:rPr>
                <w:color w:val="000000"/>
              </w:rPr>
              <w:t xml:space="preserve"> Pass</w:t>
            </w:r>
          </w:p>
        </w:tc>
        <w:tc>
          <w:tcPr>
            <w:tcW w:w="1680" w:type="dxa"/>
            <w:tcBorders>
              <w:top w:val="single" w:sz="6" w:space="0" w:color="B8C5D6"/>
              <w:left w:val="single" w:sz="6" w:space="0" w:color="B8C5D6"/>
              <w:bottom w:val="single" w:sz="6" w:space="0" w:color="B8C5D6"/>
              <w:right w:val="single" w:sz="6" w:space="0" w:color="B8C5D6"/>
            </w:tcBorders>
            <w:shd w:val="clear" w:color="auto" w:fill="FFF8F8"/>
            <w:tcMar>
              <w:top w:w="80" w:type="dxa"/>
              <w:left w:w="100" w:type="dxa"/>
              <w:bottom w:w="80" w:type="dxa"/>
              <w:right w:w="100" w:type="dxa"/>
            </w:tcMar>
            <w:vAlign w:val="center"/>
          </w:tcPr>
          <w:p w:rsidR="00D22AE7" w:rsidRDefault="005A1FFD">
            <w:pPr>
              <w:jc w:val="center"/>
            </w:pPr>
            <w:r>
              <w:rPr>
                <w:color w:val="000000"/>
              </w:rPr>
              <w:t>☐</w:t>
            </w:r>
            <w:r>
              <w:rPr>
                <w:color w:val="000000"/>
              </w:rPr>
              <w:t xml:space="preserve"> </w:t>
            </w:r>
            <w:r>
              <w:rPr>
                <w:color w:val="000000"/>
              </w:rPr>
              <w:t>Fail</w:t>
            </w:r>
          </w:p>
        </w:tc>
      </w:tr>
      <w:tr w:rsidR="00D22AE7">
        <w:tblPrEx>
          <w:tblCellMar>
            <w:top w:w="0" w:type="dxa"/>
            <w:bottom w:w="0" w:type="dxa"/>
          </w:tblCellMar>
        </w:tblPrEx>
        <w:tc>
          <w:tcPr>
            <w:tcW w:w="3000" w:type="dxa"/>
            <w:tcBorders>
              <w:top w:val="single" w:sz="6" w:space="0" w:color="B8C5D6"/>
              <w:left w:val="single" w:sz="6" w:space="0" w:color="B8C5D6"/>
              <w:bottom w:val="single" w:sz="6" w:space="0" w:color="B8C5D6"/>
              <w:right w:val="single" w:sz="6" w:space="0" w:color="B8C5D6"/>
            </w:tcBorders>
            <w:shd w:val="clear" w:color="auto" w:fill="FFFFFF"/>
            <w:tcMar>
              <w:top w:w="80" w:type="dxa"/>
              <w:left w:w="100" w:type="dxa"/>
              <w:bottom w:w="80" w:type="dxa"/>
              <w:right w:w="100" w:type="dxa"/>
            </w:tcMar>
            <w:vAlign w:val="center"/>
          </w:tcPr>
          <w:p w:rsidR="00D22AE7" w:rsidRDefault="005A1FFD">
            <w:r>
              <w:rPr>
                <w:b/>
                <w:bCs/>
                <w:color w:val="000000"/>
                <w:sz w:val="20"/>
                <w:szCs w:val="20"/>
              </w:rPr>
              <w:t>Regulatory Violations</w:t>
            </w:r>
          </w:p>
        </w:tc>
        <w:tc>
          <w:tcPr>
            <w:tcW w:w="3000" w:type="dxa"/>
            <w:tcBorders>
              <w:top w:val="single" w:sz="6" w:space="0" w:color="B8C5D6"/>
              <w:left w:val="single" w:sz="6" w:space="0" w:color="B8C5D6"/>
              <w:bottom w:val="single" w:sz="6" w:space="0" w:color="B8C5D6"/>
              <w:right w:val="single" w:sz="6" w:space="0" w:color="B8C5D6"/>
            </w:tcBorders>
            <w:shd w:val="clear" w:color="auto" w:fill="FFFFFF"/>
            <w:tcMar>
              <w:top w:w="80" w:type="dxa"/>
              <w:left w:w="100" w:type="dxa"/>
              <w:bottom w:w="80" w:type="dxa"/>
              <w:right w:w="100" w:type="dxa"/>
            </w:tcMar>
            <w:vAlign w:val="center"/>
          </w:tcPr>
          <w:p w:rsidR="00D22AE7" w:rsidRDefault="005A1FFD">
            <w:r>
              <w:rPr>
                <w:color w:val="000000"/>
                <w:sz w:val="20"/>
                <w:szCs w:val="20"/>
              </w:rPr>
              <w:t>Willful or repeat violations from any regulatory body (OSHA, EPA, FTC, DOL, industry-specific regulators) within the past 3 years</w:t>
            </w:r>
          </w:p>
        </w:tc>
        <w:tc>
          <w:tcPr>
            <w:tcW w:w="1680" w:type="dxa"/>
            <w:tcBorders>
              <w:top w:val="single" w:sz="6" w:space="0" w:color="B8C5D6"/>
              <w:left w:val="single" w:sz="6" w:space="0" w:color="B8C5D6"/>
              <w:bottom w:val="single" w:sz="6" w:space="0" w:color="B8C5D6"/>
              <w:right w:val="single" w:sz="6" w:space="0" w:color="B8C5D6"/>
            </w:tcBorders>
            <w:shd w:val="clear" w:color="auto" w:fill="F0FFF0"/>
            <w:tcMar>
              <w:top w:w="80" w:type="dxa"/>
              <w:left w:w="100" w:type="dxa"/>
              <w:bottom w:w="80" w:type="dxa"/>
              <w:right w:w="100" w:type="dxa"/>
            </w:tcMar>
            <w:vAlign w:val="center"/>
          </w:tcPr>
          <w:p w:rsidR="00D22AE7" w:rsidRDefault="005A1FFD">
            <w:pPr>
              <w:jc w:val="center"/>
            </w:pPr>
            <w:r>
              <w:rPr>
                <w:color w:val="000000"/>
              </w:rPr>
              <w:t>☐</w:t>
            </w:r>
            <w:r>
              <w:rPr>
                <w:color w:val="000000"/>
              </w:rPr>
              <w:t xml:space="preserve"> Pass</w:t>
            </w:r>
          </w:p>
        </w:tc>
        <w:tc>
          <w:tcPr>
            <w:tcW w:w="1680" w:type="dxa"/>
            <w:tcBorders>
              <w:top w:val="single" w:sz="6" w:space="0" w:color="B8C5D6"/>
              <w:left w:val="single" w:sz="6" w:space="0" w:color="B8C5D6"/>
              <w:bottom w:val="single" w:sz="6" w:space="0" w:color="B8C5D6"/>
              <w:right w:val="single" w:sz="6" w:space="0" w:color="B8C5D6"/>
            </w:tcBorders>
            <w:shd w:val="clear" w:color="auto" w:fill="FFF8F8"/>
            <w:tcMar>
              <w:top w:w="80" w:type="dxa"/>
              <w:left w:w="100" w:type="dxa"/>
              <w:bottom w:w="80" w:type="dxa"/>
              <w:right w:w="100" w:type="dxa"/>
            </w:tcMar>
            <w:vAlign w:val="center"/>
          </w:tcPr>
          <w:p w:rsidR="00D22AE7" w:rsidRDefault="005A1FFD">
            <w:pPr>
              <w:jc w:val="center"/>
            </w:pPr>
            <w:r>
              <w:rPr>
                <w:color w:val="000000"/>
              </w:rPr>
              <w:t>☐</w:t>
            </w:r>
            <w:r>
              <w:rPr>
                <w:color w:val="000000"/>
              </w:rPr>
              <w:t xml:space="preserve"> Fail</w:t>
            </w:r>
          </w:p>
        </w:tc>
      </w:tr>
      <w:tr w:rsidR="00D22AE7">
        <w:tblPrEx>
          <w:tblCellMar>
            <w:top w:w="0" w:type="dxa"/>
            <w:bottom w:w="0" w:type="dxa"/>
          </w:tblCellMar>
        </w:tblPrEx>
        <w:tc>
          <w:tcPr>
            <w:tcW w:w="3000" w:type="dxa"/>
            <w:tcBorders>
              <w:top w:val="single" w:sz="6" w:space="0" w:color="B8C5D6"/>
              <w:left w:val="single" w:sz="6" w:space="0" w:color="B8C5D6"/>
              <w:bottom w:val="single" w:sz="6" w:space="0" w:color="B8C5D6"/>
              <w:right w:val="single" w:sz="6" w:space="0" w:color="B8C5D6"/>
            </w:tcBorders>
            <w:shd w:val="clear" w:color="auto" w:fill="FFF8F8"/>
            <w:tcMar>
              <w:top w:w="80" w:type="dxa"/>
              <w:left w:w="100" w:type="dxa"/>
              <w:bottom w:w="80" w:type="dxa"/>
              <w:right w:w="100" w:type="dxa"/>
            </w:tcMar>
            <w:vAlign w:val="center"/>
          </w:tcPr>
          <w:p w:rsidR="00D22AE7" w:rsidRDefault="005A1FFD">
            <w:r>
              <w:rPr>
                <w:b/>
                <w:bCs/>
                <w:color w:val="000000"/>
                <w:sz w:val="20"/>
                <w:szCs w:val="20"/>
              </w:rPr>
              <w:t>Financial Distress</w:t>
            </w:r>
          </w:p>
        </w:tc>
        <w:tc>
          <w:tcPr>
            <w:tcW w:w="3000" w:type="dxa"/>
            <w:tcBorders>
              <w:top w:val="single" w:sz="6" w:space="0" w:color="B8C5D6"/>
              <w:left w:val="single" w:sz="6" w:space="0" w:color="B8C5D6"/>
              <w:bottom w:val="single" w:sz="6" w:space="0" w:color="B8C5D6"/>
              <w:right w:val="single" w:sz="6" w:space="0" w:color="B8C5D6"/>
            </w:tcBorders>
            <w:shd w:val="clear" w:color="auto" w:fill="FFF8F8"/>
            <w:tcMar>
              <w:top w:w="80" w:type="dxa"/>
              <w:left w:w="100" w:type="dxa"/>
              <w:bottom w:w="80" w:type="dxa"/>
              <w:right w:w="100" w:type="dxa"/>
            </w:tcMar>
            <w:vAlign w:val="center"/>
          </w:tcPr>
          <w:p w:rsidR="00D22AE7" w:rsidRDefault="005A1FFD">
            <w:r>
              <w:rPr>
                <w:color w:val="000000"/>
                <w:sz w:val="20"/>
                <w:szCs w:val="20"/>
              </w:rPr>
              <w:t xml:space="preserve">Negative operating cash flow for 2+ consecutive reporting </w:t>
            </w:r>
            <w:r>
              <w:rPr>
                <w:color w:val="000000"/>
                <w:sz w:val="20"/>
                <w:szCs w:val="20"/>
              </w:rPr>
              <w:lastRenderedPageBreak/>
              <w:t>periods, covenant violations, bankruptcy filing, or formal insolvency proceedings</w:t>
            </w:r>
          </w:p>
        </w:tc>
        <w:tc>
          <w:tcPr>
            <w:tcW w:w="1680" w:type="dxa"/>
            <w:tcBorders>
              <w:top w:val="single" w:sz="6" w:space="0" w:color="B8C5D6"/>
              <w:left w:val="single" w:sz="6" w:space="0" w:color="B8C5D6"/>
              <w:bottom w:val="single" w:sz="6" w:space="0" w:color="B8C5D6"/>
              <w:right w:val="single" w:sz="6" w:space="0" w:color="B8C5D6"/>
            </w:tcBorders>
            <w:shd w:val="clear" w:color="auto" w:fill="F0FFF0"/>
            <w:tcMar>
              <w:top w:w="80" w:type="dxa"/>
              <w:left w:w="100" w:type="dxa"/>
              <w:bottom w:w="80" w:type="dxa"/>
              <w:right w:w="100" w:type="dxa"/>
            </w:tcMar>
            <w:vAlign w:val="center"/>
          </w:tcPr>
          <w:p w:rsidR="00D22AE7" w:rsidRDefault="005A1FFD">
            <w:pPr>
              <w:jc w:val="center"/>
            </w:pPr>
            <w:r>
              <w:rPr>
                <w:color w:val="000000"/>
              </w:rPr>
              <w:lastRenderedPageBreak/>
              <w:t>☐</w:t>
            </w:r>
            <w:r>
              <w:rPr>
                <w:color w:val="000000"/>
              </w:rPr>
              <w:t xml:space="preserve"> Pass</w:t>
            </w:r>
          </w:p>
        </w:tc>
        <w:tc>
          <w:tcPr>
            <w:tcW w:w="1680" w:type="dxa"/>
            <w:tcBorders>
              <w:top w:val="single" w:sz="6" w:space="0" w:color="B8C5D6"/>
              <w:left w:val="single" w:sz="6" w:space="0" w:color="B8C5D6"/>
              <w:bottom w:val="single" w:sz="6" w:space="0" w:color="B8C5D6"/>
              <w:right w:val="single" w:sz="6" w:space="0" w:color="B8C5D6"/>
            </w:tcBorders>
            <w:shd w:val="clear" w:color="auto" w:fill="FFF8F8"/>
            <w:tcMar>
              <w:top w:w="80" w:type="dxa"/>
              <w:left w:w="100" w:type="dxa"/>
              <w:bottom w:w="80" w:type="dxa"/>
              <w:right w:w="100" w:type="dxa"/>
            </w:tcMar>
            <w:vAlign w:val="center"/>
          </w:tcPr>
          <w:p w:rsidR="00D22AE7" w:rsidRDefault="005A1FFD">
            <w:pPr>
              <w:jc w:val="center"/>
            </w:pPr>
            <w:r>
              <w:rPr>
                <w:color w:val="000000"/>
              </w:rPr>
              <w:t>☐</w:t>
            </w:r>
            <w:r>
              <w:rPr>
                <w:color w:val="000000"/>
              </w:rPr>
              <w:t xml:space="preserve"> Fail</w:t>
            </w:r>
          </w:p>
        </w:tc>
      </w:tr>
      <w:tr w:rsidR="00D22AE7">
        <w:tblPrEx>
          <w:tblCellMar>
            <w:top w:w="0" w:type="dxa"/>
            <w:bottom w:w="0" w:type="dxa"/>
          </w:tblCellMar>
        </w:tblPrEx>
        <w:tc>
          <w:tcPr>
            <w:tcW w:w="3000" w:type="dxa"/>
            <w:tcBorders>
              <w:top w:val="single" w:sz="6" w:space="0" w:color="B8C5D6"/>
              <w:left w:val="single" w:sz="6" w:space="0" w:color="B8C5D6"/>
              <w:bottom w:val="single" w:sz="6" w:space="0" w:color="B8C5D6"/>
              <w:right w:val="single" w:sz="6" w:space="0" w:color="B8C5D6"/>
            </w:tcBorders>
            <w:shd w:val="clear" w:color="auto" w:fill="FFFFFF"/>
            <w:tcMar>
              <w:top w:w="80" w:type="dxa"/>
              <w:left w:w="100" w:type="dxa"/>
              <w:bottom w:w="80" w:type="dxa"/>
              <w:right w:w="100" w:type="dxa"/>
            </w:tcMar>
            <w:vAlign w:val="center"/>
          </w:tcPr>
          <w:p w:rsidR="00D22AE7" w:rsidRDefault="005A1FFD">
            <w:r>
              <w:rPr>
                <w:b/>
                <w:bCs/>
                <w:color w:val="000000"/>
                <w:sz w:val="20"/>
                <w:szCs w:val="20"/>
              </w:rPr>
              <w:t>Debarment / Exclusion Status</w:t>
            </w:r>
          </w:p>
        </w:tc>
        <w:tc>
          <w:tcPr>
            <w:tcW w:w="3000" w:type="dxa"/>
            <w:tcBorders>
              <w:top w:val="single" w:sz="6" w:space="0" w:color="B8C5D6"/>
              <w:left w:val="single" w:sz="6" w:space="0" w:color="B8C5D6"/>
              <w:bottom w:val="single" w:sz="6" w:space="0" w:color="B8C5D6"/>
              <w:right w:val="single" w:sz="6" w:space="0" w:color="B8C5D6"/>
            </w:tcBorders>
            <w:shd w:val="clear" w:color="auto" w:fill="FFFFFF"/>
            <w:tcMar>
              <w:top w:w="80" w:type="dxa"/>
              <w:left w:w="100" w:type="dxa"/>
              <w:bottom w:w="80" w:type="dxa"/>
              <w:right w:w="100" w:type="dxa"/>
            </w:tcMar>
            <w:vAlign w:val="center"/>
          </w:tcPr>
          <w:p w:rsidR="00D22AE7" w:rsidRDefault="005A1FFD">
            <w:r>
              <w:rPr>
                <w:color w:val="000000"/>
                <w:sz w:val="20"/>
                <w:szCs w:val="20"/>
              </w:rPr>
              <w:t>Any active federal, state, or local debarment, exclusion from public contracts, or placement on a government excluded parties list</w:t>
            </w:r>
          </w:p>
        </w:tc>
        <w:tc>
          <w:tcPr>
            <w:tcW w:w="1680" w:type="dxa"/>
            <w:tcBorders>
              <w:top w:val="single" w:sz="6" w:space="0" w:color="B8C5D6"/>
              <w:left w:val="single" w:sz="6" w:space="0" w:color="B8C5D6"/>
              <w:bottom w:val="single" w:sz="6" w:space="0" w:color="B8C5D6"/>
              <w:right w:val="single" w:sz="6" w:space="0" w:color="B8C5D6"/>
            </w:tcBorders>
            <w:shd w:val="clear" w:color="auto" w:fill="F0FFF0"/>
            <w:tcMar>
              <w:top w:w="80" w:type="dxa"/>
              <w:left w:w="100" w:type="dxa"/>
              <w:bottom w:w="80" w:type="dxa"/>
              <w:right w:w="100" w:type="dxa"/>
            </w:tcMar>
            <w:vAlign w:val="center"/>
          </w:tcPr>
          <w:p w:rsidR="00D22AE7" w:rsidRDefault="005A1FFD">
            <w:pPr>
              <w:jc w:val="center"/>
            </w:pPr>
            <w:r>
              <w:rPr>
                <w:color w:val="000000"/>
              </w:rPr>
              <w:t>☐</w:t>
            </w:r>
            <w:r>
              <w:rPr>
                <w:color w:val="000000"/>
              </w:rPr>
              <w:t xml:space="preserve"> Pass</w:t>
            </w:r>
          </w:p>
        </w:tc>
        <w:tc>
          <w:tcPr>
            <w:tcW w:w="1680" w:type="dxa"/>
            <w:tcBorders>
              <w:top w:val="single" w:sz="6" w:space="0" w:color="B8C5D6"/>
              <w:left w:val="single" w:sz="6" w:space="0" w:color="B8C5D6"/>
              <w:bottom w:val="single" w:sz="6" w:space="0" w:color="B8C5D6"/>
              <w:right w:val="single" w:sz="6" w:space="0" w:color="B8C5D6"/>
            </w:tcBorders>
            <w:shd w:val="clear" w:color="auto" w:fill="FFF8F8"/>
            <w:tcMar>
              <w:top w:w="80" w:type="dxa"/>
              <w:left w:w="100" w:type="dxa"/>
              <w:bottom w:w="80" w:type="dxa"/>
              <w:right w:w="100" w:type="dxa"/>
            </w:tcMar>
            <w:vAlign w:val="center"/>
          </w:tcPr>
          <w:p w:rsidR="00D22AE7" w:rsidRDefault="005A1FFD">
            <w:pPr>
              <w:jc w:val="center"/>
            </w:pPr>
            <w:r>
              <w:rPr>
                <w:color w:val="000000"/>
              </w:rPr>
              <w:t>☐</w:t>
            </w:r>
            <w:r>
              <w:rPr>
                <w:color w:val="000000"/>
              </w:rPr>
              <w:t xml:space="preserve"> Fail</w:t>
            </w:r>
          </w:p>
        </w:tc>
      </w:tr>
      <w:tr w:rsidR="00D22AE7">
        <w:tblPrEx>
          <w:tblCellMar>
            <w:top w:w="0" w:type="dxa"/>
            <w:bottom w:w="0" w:type="dxa"/>
          </w:tblCellMar>
        </w:tblPrEx>
        <w:tc>
          <w:tcPr>
            <w:tcW w:w="3000" w:type="dxa"/>
            <w:tcBorders>
              <w:top w:val="single" w:sz="6" w:space="0" w:color="B8C5D6"/>
              <w:left w:val="single" w:sz="6" w:space="0" w:color="B8C5D6"/>
              <w:bottom w:val="single" w:sz="6" w:space="0" w:color="B8C5D6"/>
              <w:right w:val="single" w:sz="6" w:space="0" w:color="B8C5D6"/>
            </w:tcBorders>
            <w:shd w:val="clear" w:color="auto" w:fill="FFF8F8"/>
            <w:tcMar>
              <w:top w:w="80" w:type="dxa"/>
              <w:left w:w="100" w:type="dxa"/>
              <w:bottom w:w="80" w:type="dxa"/>
              <w:right w:w="100" w:type="dxa"/>
            </w:tcMar>
            <w:vAlign w:val="center"/>
          </w:tcPr>
          <w:p w:rsidR="00D22AE7" w:rsidRDefault="005A1FFD">
            <w:r>
              <w:rPr>
                <w:b/>
                <w:bCs/>
                <w:color w:val="000000"/>
                <w:sz w:val="20"/>
                <w:szCs w:val="20"/>
              </w:rPr>
              <w:t>Safety / Workplace Metrics</w:t>
            </w:r>
          </w:p>
        </w:tc>
        <w:tc>
          <w:tcPr>
            <w:tcW w:w="3000" w:type="dxa"/>
            <w:tcBorders>
              <w:top w:val="single" w:sz="6" w:space="0" w:color="B8C5D6"/>
              <w:left w:val="single" w:sz="6" w:space="0" w:color="B8C5D6"/>
              <w:bottom w:val="single" w:sz="6" w:space="0" w:color="B8C5D6"/>
              <w:right w:val="single" w:sz="6" w:space="0" w:color="B8C5D6"/>
            </w:tcBorders>
            <w:shd w:val="clear" w:color="auto" w:fill="FFF8F8"/>
            <w:tcMar>
              <w:top w:w="80" w:type="dxa"/>
              <w:left w:w="100" w:type="dxa"/>
              <w:bottom w:w="80" w:type="dxa"/>
              <w:right w:w="100" w:type="dxa"/>
            </w:tcMar>
            <w:vAlign w:val="center"/>
          </w:tcPr>
          <w:p w:rsidR="00D22AE7" w:rsidRDefault="005A1FFD">
            <w:r>
              <w:rPr>
                <w:color w:val="000000"/>
                <w:sz w:val="20"/>
                <w:szCs w:val="20"/>
              </w:rPr>
              <w:t>TRIR &gt; 3.0 (field-based vendors) or documented pattern of workplace safety failures; for professional/office vendors: material OSHA violations or repeated employee safety incidents</w:t>
            </w:r>
          </w:p>
        </w:tc>
        <w:tc>
          <w:tcPr>
            <w:tcW w:w="1680" w:type="dxa"/>
            <w:tcBorders>
              <w:top w:val="single" w:sz="6" w:space="0" w:color="B8C5D6"/>
              <w:left w:val="single" w:sz="6" w:space="0" w:color="B8C5D6"/>
              <w:bottom w:val="single" w:sz="6" w:space="0" w:color="B8C5D6"/>
              <w:right w:val="single" w:sz="6" w:space="0" w:color="B8C5D6"/>
            </w:tcBorders>
            <w:shd w:val="clear" w:color="auto" w:fill="F0FFF0"/>
            <w:tcMar>
              <w:top w:w="80" w:type="dxa"/>
              <w:left w:w="100" w:type="dxa"/>
              <w:bottom w:w="80" w:type="dxa"/>
              <w:right w:w="100" w:type="dxa"/>
            </w:tcMar>
            <w:vAlign w:val="center"/>
          </w:tcPr>
          <w:p w:rsidR="00D22AE7" w:rsidRDefault="005A1FFD">
            <w:pPr>
              <w:jc w:val="center"/>
            </w:pPr>
            <w:r>
              <w:rPr>
                <w:color w:val="000000"/>
              </w:rPr>
              <w:t>☐</w:t>
            </w:r>
            <w:r>
              <w:rPr>
                <w:color w:val="000000"/>
              </w:rPr>
              <w:t xml:space="preserve"> Pass</w:t>
            </w:r>
          </w:p>
        </w:tc>
        <w:tc>
          <w:tcPr>
            <w:tcW w:w="1680" w:type="dxa"/>
            <w:tcBorders>
              <w:top w:val="single" w:sz="6" w:space="0" w:color="B8C5D6"/>
              <w:left w:val="single" w:sz="6" w:space="0" w:color="B8C5D6"/>
              <w:bottom w:val="single" w:sz="6" w:space="0" w:color="B8C5D6"/>
              <w:right w:val="single" w:sz="6" w:space="0" w:color="B8C5D6"/>
            </w:tcBorders>
            <w:shd w:val="clear" w:color="auto" w:fill="FFF8F8"/>
            <w:tcMar>
              <w:top w:w="80" w:type="dxa"/>
              <w:left w:w="100" w:type="dxa"/>
              <w:bottom w:w="80" w:type="dxa"/>
              <w:right w:w="100" w:type="dxa"/>
            </w:tcMar>
            <w:vAlign w:val="center"/>
          </w:tcPr>
          <w:p w:rsidR="00D22AE7" w:rsidRDefault="005A1FFD">
            <w:pPr>
              <w:jc w:val="center"/>
            </w:pPr>
            <w:r>
              <w:rPr>
                <w:color w:val="000000"/>
              </w:rPr>
              <w:t>☐</w:t>
            </w:r>
            <w:r>
              <w:rPr>
                <w:color w:val="000000"/>
              </w:rPr>
              <w:t xml:space="preserve"> Fail</w:t>
            </w:r>
          </w:p>
        </w:tc>
      </w:tr>
      <w:tr w:rsidR="00D22AE7">
        <w:tblPrEx>
          <w:tblCellMar>
            <w:top w:w="0" w:type="dxa"/>
            <w:bottom w:w="0" w:type="dxa"/>
          </w:tblCellMar>
        </w:tblPrEx>
        <w:tc>
          <w:tcPr>
            <w:tcW w:w="3000" w:type="dxa"/>
            <w:tcBorders>
              <w:top w:val="single" w:sz="6" w:space="0" w:color="B8C5D6"/>
              <w:left w:val="single" w:sz="6" w:space="0" w:color="B8C5D6"/>
              <w:bottom w:val="single" w:sz="6" w:space="0" w:color="B8C5D6"/>
              <w:right w:val="single" w:sz="6" w:space="0" w:color="B8C5D6"/>
            </w:tcBorders>
            <w:shd w:val="clear" w:color="auto" w:fill="FFFFFF"/>
            <w:tcMar>
              <w:top w:w="80" w:type="dxa"/>
              <w:left w:w="100" w:type="dxa"/>
              <w:bottom w:w="80" w:type="dxa"/>
              <w:right w:w="100" w:type="dxa"/>
            </w:tcMar>
            <w:vAlign w:val="center"/>
          </w:tcPr>
          <w:p w:rsidR="00D22AE7" w:rsidRDefault="005A1FFD">
            <w:r>
              <w:rPr>
                <w:b/>
                <w:bCs/>
                <w:color w:val="000000"/>
                <w:sz w:val="20"/>
                <w:szCs w:val="20"/>
              </w:rPr>
              <w:t>Insurance / Bond Capacity</w:t>
            </w:r>
          </w:p>
        </w:tc>
        <w:tc>
          <w:tcPr>
            <w:tcW w:w="3000" w:type="dxa"/>
            <w:tcBorders>
              <w:top w:val="single" w:sz="6" w:space="0" w:color="B8C5D6"/>
              <w:left w:val="single" w:sz="6" w:space="0" w:color="B8C5D6"/>
              <w:bottom w:val="single" w:sz="6" w:space="0" w:color="B8C5D6"/>
              <w:right w:val="single" w:sz="6" w:space="0" w:color="B8C5D6"/>
            </w:tcBorders>
            <w:shd w:val="clear" w:color="auto" w:fill="FFFFFF"/>
            <w:tcMar>
              <w:top w:w="80" w:type="dxa"/>
              <w:left w:w="100" w:type="dxa"/>
              <w:bottom w:w="80" w:type="dxa"/>
              <w:right w:w="100" w:type="dxa"/>
            </w:tcMar>
            <w:vAlign w:val="center"/>
          </w:tcPr>
          <w:p w:rsidR="00D22AE7" w:rsidRDefault="005A1FFD">
            <w:r>
              <w:rPr>
                <w:color w:val="000000"/>
                <w:sz w:val="20"/>
                <w:szCs w:val="20"/>
              </w:rPr>
              <w:t>Insurance coverage or bonding capacity is insufficient for the engagement scope, or required coverage types cannot be obtained or maintained</w:t>
            </w:r>
          </w:p>
        </w:tc>
        <w:tc>
          <w:tcPr>
            <w:tcW w:w="1680" w:type="dxa"/>
            <w:tcBorders>
              <w:top w:val="single" w:sz="6" w:space="0" w:color="B8C5D6"/>
              <w:left w:val="single" w:sz="6" w:space="0" w:color="B8C5D6"/>
              <w:bottom w:val="single" w:sz="6" w:space="0" w:color="B8C5D6"/>
              <w:right w:val="single" w:sz="6" w:space="0" w:color="B8C5D6"/>
            </w:tcBorders>
            <w:shd w:val="clear" w:color="auto" w:fill="F0FFF0"/>
            <w:tcMar>
              <w:top w:w="80" w:type="dxa"/>
              <w:left w:w="100" w:type="dxa"/>
              <w:bottom w:w="80" w:type="dxa"/>
              <w:right w:w="100" w:type="dxa"/>
            </w:tcMar>
            <w:vAlign w:val="center"/>
          </w:tcPr>
          <w:p w:rsidR="00D22AE7" w:rsidRDefault="005A1FFD">
            <w:pPr>
              <w:jc w:val="center"/>
            </w:pPr>
            <w:r>
              <w:rPr>
                <w:color w:val="000000"/>
              </w:rPr>
              <w:t>☐</w:t>
            </w:r>
            <w:r>
              <w:rPr>
                <w:color w:val="000000"/>
              </w:rPr>
              <w:t xml:space="preserve"> Pass</w:t>
            </w:r>
          </w:p>
        </w:tc>
        <w:tc>
          <w:tcPr>
            <w:tcW w:w="1680" w:type="dxa"/>
            <w:tcBorders>
              <w:top w:val="single" w:sz="6" w:space="0" w:color="B8C5D6"/>
              <w:left w:val="single" w:sz="6" w:space="0" w:color="B8C5D6"/>
              <w:bottom w:val="single" w:sz="6" w:space="0" w:color="B8C5D6"/>
              <w:right w:val="single" w:sz="6" w:space="0" w:color="B8C5D6"/>
            </w:tcBorders>
            <w:shd w:val="clear" w:color="auto" w:fill="FFF8F8"/>
            <w:tcMar>
              <w:top w:w="80" w:type="dxa"/>
              <w:left w:w="100" w:type="dxa"/>
              <w:bottom w:w="80" w:type="dxa"/>
              <w:right w:w="100" w:type="dxa"/>
            </w:tcMar>
            <w:vAlign w:val="center"/>
          </w:tcPr>
          <w:p w:rsidR="00D22AE7" w:rsidRDefault="005A1FFD">
            <w:pPr>
              <w:jc w:val="center"/>
            </w:pPr>
            <w:r>
              <w:rPr>
                <w:color w:val="000000"/>
              </w:rPr>
              <w:t>☐</w:t>
            </w:r>
            <w:r>
              <w:rPr>
                <w:color w:val="000000"/>
              </w:rPr>
              <w:t xml:space="preserve"> Fail</w:t>
            </w:r>
          </w:p>
        </w:tc>
      </w:tr>
      <w:tr w:rsidR="00D22AE7">
        <w:tblPrEx>
          <w:tblCellMar>
            <w:top w:w="0" w:type="dxa"/>
            <w:bottom w:w="0" w:type="dxa"/>
          </w:tblCellMar>
        </w:tblPrEx>
        <w:tc>
          <w:tcPr>
            <w:tcW w:w="3000" w:type="dxa"/>
            <w:tcBorders>
              <w:top w:val="single" w:sz="6" w:space="0" w:color="B8C5D6"/>
              <w:left w:val="single" w:sz="6" w:space="0" w:color="B8C5D6"/>
              <w:bottom w:val="single" w:sz="6" w:space="0" w:color="B8C5D6"/>
              <w:right w:val="single" w:sz="6" w:space="0" w:color="B8C5D6"/>
            </w:tcBorders>
            <w:shd w:val="clear" w:color="auto" w:fill="FFF8F8"/>
            <w:tcMar>
              <w:top w:w="80" w:type="dxa"/>
              <w:left w:w="100" w:type="dxa"/>
              <w:bottom w:w="80" w:type="dxa"/>
              <w:right w:w="100" w:type="dxa"/>
            </w:tcMar>
            <w:vAlign w:val="center"/>
          </w:tcPr>
          <w:p w:rsidR="00D22AE7" w:rsidRDefault="005A1FFD">
            <w:r>
              <w:rPr>
                <w:b/>
                <w:bCs/>
                <w:color w:val="000000"/>
                <w:sz w:val="20"/>
                <w:szCs w:val="20"/>
              </w:rPr>
              <w:t>License / Certification Status</w:t>
            </w:r>
          </w:p>
        </w:tc>
        <w:tc>
          <w:tcPr>
            <w:tcW w:w="3000" w:type="dxa"/>
            <w:tcBorders>
              <w:top w:val="single" w:sz="6" w:space="0" w:color="B8C5D6"/>
              <w:left w:val="single" w:sz="6" w:space="0" w:color="B8C5D6"/>
              <w:bottom w:val="single" w:sz="6" w:space="0" w:color="B8C5D6"/>
              <w:right w:val="single" w:sz="6" w:space="0" w:color="B8C5D6"/>
            </w:tcBorders>
            <w:shd w:val="clear" w:color="auto" w:fill="FFF8F8"/>
            <w:tcMar>
              <w:top w:w="80" w:type="dxa"/>
              <w:left w:w="100" w:type="dxa"/>
              <w:bottom w:w="80" w:type="dxa"/>
              <w:right w:w="100" w:type="dxa"/>
            </w:tcMar>
            <w:vAlign w:val="center"/>
          </w:tcPr>
          <w:p w:rsidR="00D22AE7" w:rsidRDefault="005A1FFD">
            <w:r>
              <w:rPr>
                <w:color w:val="000000"/>
                <w:sz w:val="20"/>
                <w:szCs w:val="20"/>
              </w:rPr>
              <w:t>Expired, suspended, or revoked professional licenses, certifications, or permits required for the services or activities within the engagement scope</w:t>
            </w:r>
          </w:p>
        </w:tc>
        <w:tc>
          <w:tcPr>
            <w:tcW w:w="1680" w:type="dxa"/>
            <w:tcBorders>
              <w:top w:val="single" w:sz="6" w:space="0" w:color="B8C5D6"/>
              <w:left w:val="single" w:sz="6" w:space="0" w:color="B8C5D6"/>
              <w:bottom w:val="single" w:sz="6" w:space="0" w:color="B8C5D6"/>
              <w:right w:val="single" w:sz="6" w:space="0" w:color="B8C5D6"/>
            </w:tcBorders>
            <w:shd w:val="clear" w:color="auto" w:fill="F0FFF0"/>
            <w:tcMar>
              <w:top w:w="80" w:type="dxa"/>
              <w:left w:w="100" w:type="dxa"/>
              <w:bottom w:w="80" w:type="dxa"/>
              <w:right w:w="100" w:type="dxa"/>
            </w:tcMar>
            <w:vAlign w:val="center"/>
          </w:tcPr>
          <w:p w:rsidR="00D22AE7" w:rsidRDefault="005A1FFD">
            <w:pPr>
              <w:jc w:val="center"/>
            </w:pPr>
            <w:r>
              <w:rPr>
                <w:color w:val="000000"/>
              </w:rPr>
              <w:t>☐</w:t>
            </w:r>
            <w:r>
              <w:rPr>
                <w:color w:val="000000"/>
              </w:rPr>
              <w:t xml:space="preserve"> Pass</w:t>
            </w:r>
          </w:p>
        </w:tc>
        <w:tc>
          <w:tcPr>
            <w:tcW w:w="1680" w:type="dxa"/>
            <w:tcBorders>
              <w:top w:val="single" w:sz="6" w:space="0" w:color="B8C5D6"/>
              <w:left w:val="single" w:sz="6" w:space="0" w:color="B8C5D6"/>
              <w:bottom w:val="single" w:sz="6" w:space="0" w:color="B8C5D6"/>
              <w:right w:val="single" w:sz="6" w:space="0" w:color="B8C5D6"/>
            </w:tcBorders>
            <w:shd w:val="clear" w:color="auto" w:fill="FFF8F8"/>
            <w:tcMar>
              <w:top w:w="80" w:type="dxa"/>
              <w:left w:w="100" w:type="dxa"/>
              <w:bottom w:w="80" w:type="dxa"/>
              <w:right w:w="100" w:type="dxa"/>
            </w:tcMar>
            <w:vAlign w:val="center"/>
          </w:tcPr>
          <w:p w:rsidR="00D22AE7" w:rsidRDefault="005A1FFD">
            <w:pPr>
              <w:jc w:val="center"/>
            </w:pPr>
            <w:r>
              <w:rPr>
                <w:color w:val="000000"/>
              </w:rPr>
              <w:t>☐</w:t>
            </w:r>
            <w:r>
              <w:rPr>
                <w:color w:val="000000"/>
              </w:rPr>
              <w:t xml:space="preserve"> Fail</w:t>
            </w:r>
          </w:p>
        </w:tc>
      </w:tr>
    </w:tbl>
    <w:p w:rsidR="00D22AE7" w:rsidRDefault="00D22AE7">
      <w:pPr>
        <w:spacing w:before="120" w:after="0"/>
      </w:pPr>
    </w:p>
    <w:p w:rsidR="00D22AE7" w:rsidRDefault="005A1FFD">
      <w:pPr>
        <w:spacing w:after="80"/>
      </w:pPr>
      <w:r>
        <w:rPr>
          <w:b/>
          <w:bCs/>
          <w:color w:val="1B3A6B"/>
          <w:sz w:val="20"/>
          <w:szCs w:val="20"/>
        </w:rPr>
        <w:t xml:space="preserve">NOTE: </w:t>
      </w:r>
      <w:r>
        <w:rPr>
          <w:i/>
          <w:iCs/>
          <w:color w:val="4B5563"/>
          <w:sz w:val="20"/>
          <w:szCs w:val="20"/>
        </w:rPr>
        <w:t>A "Fail" on any indicator above requires immediate escalation to VP/Executive level before proceeding with scoring. Critical Risk Indicators are evaluated independently of the composite scoring in Sections B–D.</w:t>
      </w:r>
    </w:p>
    <w:p w:rsidR="00D22AE7" w:rsidRDefault="00D22AE7">
      <w:pPr>
        <w:spacing w:before="200" w:after="0"/>
      </w:pP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D22AE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B3A6B"/>
            <w:tcMar>
              <w:top w:w="140" w:type="dxa"/>
              <w:left w:w="200" w:type="dxa"/>
              <w:bottom w:w="140" w:type="dxa"/>
              <w:right w:w="200" w:type="dxa"/>
            </w:tcMar>
          </w:tcPr>
          <w:p w:rsidR="00D22AE7" w:rsidRDefault="005A1FFD">
            <w:r>
              <w:rPr>
                <w:b/>
                <w:bCs/>
                <w:color w:val="FFFFFF"/>
                <w:sz w:val="28"/>
                <w:szCs w:val="28"/>
              </w:rPr>
              <w:t>SECTION B: Weighted Risk Categories</w:t>
            </w:r>
          </w:p>
        </w:tc>
      </w:tr>
    </w:tbl>
    <w:p w:rsidR="00D22AE7" w:rsidRDefault="00D22AE7">
      <w:pPr>
        <w:spacing w:before="100" w:after="0"/>
      </w:pPr>
    </w:p>
    <w:p w:rsidR="00D22AE7" w:rsidRDefault="005A1FFD">
      <w:pPr>
        <w:spacing w:after="100" w:line="264" w:lineRule="auto"/>
      </w:pPr>
      <w:r>
        <w:t>Each of the six risk categories below is assigned a weight reflecting its relative importance to overall vendor risk. Scores are assigned on a 1–4 scale for each category (see Section C for detailed rubrics). The maximum composite score is 400 points.</w:t>
      </w:r>
    </w:p>
    <w:p w:rsidR="00D22AE7" w:rsidRDefault="00D22AE7">
      <w:pPr>
        <w:spacing w:before="80" w:after="0"/>
      </w:pP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1200"/>
        <w:gridCol w:w="1400"/>
        <w:gridCol w:w="4360"/>
      </w:tblGrid>
      <w:tr w:rsidR="00D22AE7">
        <w:tblPrEx>
          <w:tblCellMar>
            <w:top w:w="0" w:type="dxa"/>
            <w:bottom w:w="0" w:type="dxa"/>
          </w:tblCellMar>
        </w:tblPrEx>
        <w:trPr>
          <w:tblHeader/>
        </w:trPr>
        <w:tc>
          <w:tcPr>
            <w:tcW w:w="2400" w:type="dxa"/>
            <w:tcBorders>
              <w:top w:val="single" w:sz="6" w:space="0" w:color="B8C5D6"/>
              <w:left w:val="single" w:sz="6" w:space="0" w:color="B8C5D6"/>
              <w:bottom w:val="single" w:sz="6" w:space="0" w:color="B8C5D6"/>
              <w:right w:val="single" w:sz="6" w:space="0" w:color="B8C5D6"/>
            </w:tcBorders>
            <w:shd w:val="clear" w:color="auto" w:fill="1B3A6B"/>
            <w:tcMar>
              <w:top w:w="100" w:type="dxa"/>
              <w:left w:w="100" w:type="dxa"/>
              <w:bottom w:w="100" w:type="dxa"/>
              <w:right w:w="100" w:type="dxa"/>
            </w:tcMar>
            <w:vAlign w:val="center"/>
          </w:tcPr>
          <w:p w:rsidR="00D22AE7" w:rsidRDefault="005A1FFD">
            <w:pPr>
              <w:jc w:val="center"/>
            </w:pPr>
            <w:r>
              <w:rPr>
                <w:b/>
                <w:bCs/>
                <w:color w:val="FFFFFF"/>
                <w:sz w:val="20"/>
                <w:szCs w:val="20"/>
              </w:rPr>
              <w:t>Ris</w:t>
            </w:r>
            <w:r>
              <w:rPr>
                <w:b/>
                <w:bCs/>
                <w:color w:val="FFFFFF"/>
                <w:sz w:val="20"/>
                <w:szCs w:val="20"/>
              </w:rPr>
              <w:t>k Category</w:t>
            </w:r>
          </w:p>
        </w:tc>
        <w:tc>
          <w:tcPr>
            <w:tcW w:w="1200" w:type="dxa"/>
            <w:tcBorders>
              <w:top w:val="single" w:sz="6" w:space="0" w:color="B8C5D6"/>
              <w:left w:val="single" w:sz="6" w:space="0" w:color="B8C5D6"/>
              <w:bottom w:val="single" w:sz="6" w:space="0" w:color="B8C5D6"/>
              <w:right w:val="single" w:sz="6" w:space="0" w:color="B8C5D6"/>
            </w:tcBorders>
            <w:shd w:val="clear" w:color="auto" w:fill="1B3A6B"/>
            <w:tcMar>
              <w:top w:w="100" w:type="dxa"/>
              <w:left w:w="100" w:type="dxa"/>
              <w:bottom w:w="100" w:type="dxa"/>
              <w:right w:w="100" w:type="dxa"/>
            </w:tcMar>
            <w:vAlign w:val="center"/>
          </w:tcPr>
          <w:p w:rsidR="00D22AE7" w:rsidRDefault="005A1FFD">
            <w:pPr>
              <w:jc w:val="center"/>
            </w:pPr>
            <w:r>
              <w:rPr>
                <w:b/>
                <w:bCs/>
                <w:color w:val="FFFFFF"/>
                <w:sz w:val="20"/>
                <w:szCs w:val="20"/>
              </w:rPr>
              <w:t>Weight</w:t>
            </w:r>
          </w:p>
        </w:tc>
        <w:tc>
          <w:tcPr>
            <w:tcW w:w="1400" w:type="dxa"/>
            <w:tcBorders>
              <w:top w:val="single" w:sz="6" w:space="0" w:color="B8C5D6"/>
              <w:left w:val="single" w:sz="6" w:space="0" w:color="B8C5D6"/>
              <w:bottom w:val="single" w:sz="6" w:space="0" w:color="B8C5D6"/>
              <w:right w:val="single" w:sz="6" w:space="0" w:color="B8C5D6"/>
            </w:tcBorders>
            <w:shd w:val="clear" w:color="auto" w:fill="1B3A6B"/>
            <w:tcMar>
              <w:top w:w="100" w:type="dxa"/>
              <w:left w:w="100" w:type="dxa"/>
              <w:bottom w:w="100" w:type="dxa"/>
              <w:right w:w="100" w:type="dxa"/>
            </w:tcMar>
            <w:vAlign w:val="center"/>
          </w:tcPr>
          <w:p w:rsidR="00D22AE7" w:rsidRDefault="005A1FFD">
            <w:pPr>
              <w:jc w:val="center"/>
            </w:pPr>
            <w:r>
              <w:rPr>
                <w:b/>
                <w:bCs/>
                <w:color w:val="FFFFFF"/>
                <w:sz w:val="20"/>
                <w:szCs w:val="20"/>
              </w:rPr>
              <w:t>Max Score</w:t>
            </w:r>
          </w:p>
        </w:tc>
        <w:tc>
          <w:tcPr>
            <w:tcW w:w="4360" w:type="dxa"/>
            <w:tcBorders>
              <w:top w:val="single" w:sz="6" w:space="0" w:color="B8C5D6"/>
              <w:left w:val="single" w:sz="6" w:space="0" w:color="B8C5D6"/>
              <w:bottom w:val="single" w:sz="6" w:space="0" w:color="B8C5D6"/>
              <w:right w:val="single" w:sz="6" w:space="0" w:color="B8C5D6"/>
            </w:tcBorders>
            <w:shd w:val="clear" w:color="auto" w:fill="1B3A6B"/>
            <w:tcMar>
              <w:top w:w="100" w:type="dxa"/>
              <w:left w:w="100" w:type="dxa"/>
              <w:bottom w:w="100" w:type="dxa"/>
              <w:right w:w="100" w:type="dxa"/>
            </w:tcMar>
            <w:vAlign w:val="center"/>
          </w:tcPr>
          <w:p w:rsidR="00D22AE7" w:rsidRDefault="005A1FFD">
            <w:pPr>
              <w:jc w:val="center"/>
            </w:pPr>
            <w:r>
              <w:rPr>
                <w:b/>
                <w:bCs/>
                <w:color w:val="FFFFFF"/>
                <w:sz w:val="20"/>
                <w:szCs w:val="20"/>
              </w:rPr>
              <w:t>Rationale</w:t>
            </w:r>
          </w:p>
        </w:tc>
      </w:tr>
      <w:tr w:rsidR="00D22AE7">
        <w:tblPrEx>
          <w:tblCellMar>
            <w:top w:w="0" w:type="dxa"/>
            <w:bottom w:w="0" w:type="dxa"/>
          </w:tblCellMar>
        </w:tblPrEx>
        <w:tc>
          <w:tcPr>
            <w:tcW w:w="2400" w:type="dxa"/>
            <w:tcBorders>
              <w:top w:val="single" w:sz="6" w:space="0" w:color="B8C5D6"/>
              <w:left w:val="single" w:sz="6" w:space="0" w:color="B8C5D6"/>
              <w:bottom w:val="single" w:sz="6" w:space="0" w:color="B8C5D6"/>
              <w:right w:val="single" w:sz="6" w:space="0" w:color="B8C5D6"/>
            </w:tcBorders>
            <w:shd w:val="clear" w:color="auto" w:fill="F0F4FA"/>
            <w:tcMar>
              <w:top w:w="80" w:type="dxa"/>
              <w:left w:w="100" w:type="dxa"/>
              <w:bottom w:w="80" w:type="dxa"/>
              <w:right w:w="100" w:type="dxa"/>
            </w:tcMar>
            <w:vAlign w:val="center"/>
          </w:tcPr>
          <w:p w:rsidR="00D22AE7" w:rsidRDefault="005A1FFD">
            <w:r>
              <w:rPr>
                <w:b/>
                <w:bCs/>
                <w:color w:val="000000"/>
                <w:sz w:val="20"/>
                <w:szCs w:val="20"/>
              </w:rPr>
              <w:t>Financial Stability</w:t>
            </w:r>
          </w:p>
        </w:tc>
        <w:tc>
          <w:tcPr>
            <w:tcW w:w="1200" w:type="dxa"/>
            <w:tcBorders>
              <w:top w:val="single" w:sz="6" w:space="0" w:color="B8C5D6"/>
              <w:left w:val="single" w:sz="6" w:space="0" w:color="B8C5D6"/>
              <w:bottom w:val="single" w:sz="6" w:space="0" w:color="B8C5D6"/>
              <w:right w:val="single" w:sz="6" w:space="0" w:color="B8C5D6"/>
            </w:tcBorders>
            <w:shd w:val="clear" w:color="auto" w:fill="F0F4FA"/>
            <w:tcMar>
              <w:top w:w="80" w:type="dxa"/>
              <w:left w:w="100" w:type="dxa"/>
              <w:bottom w:w="80" w:type="dxa"/>
              <w:right w:w="100" w:type="dxa"/>
            </w:tcMar>
            <w:vAlign w:val="center"/>
          </w:tcPr>
          <w:p w:rsidR="00D22AE7" w:rsidRDefault="005A1FFD">
            <w:pPr>
              <w:jc w:val="center"/>
            </w:pPr>
            <w:r>
              <w:rPr>
                <w:color w:val="000000"/>
                <w:sz w:val="20"/>
                <w:szCs w:val="20"/>
              </w:rPr>
              <w:t>30%</w:t>
            </w:r>
          </w:p>
        </w:tc>
        <w:tc>
          <w:tcPr>
            <w:tcW w:w="1400" w:type="dxa"/>
            <w:tcBorders>
              <w:top w:val="single" w:sz="6" w:space="0" w:color="B8C5D6"/>
              <w:left w:val="single" w:sz="6" w:space="0" w:color="B8C5D6"/>
              <w:bottom w:val="single" w:sz="6" w:space="0" w:color="B8C5D6"/>
              <w:right w:val="single" w:sz="6" w:space="0" w:color="B8C5D6"/>
            </w:tcBorders>
            <w:shd w:val="clear" w:color="auto" w:fill="F0F4FA"/>
            <w:tcMar>
              <w:top w:w="80" w:type="dxa"/>
              <w:left w:w="100" w:type="dxa"/>
              <w:bottom w:w="80" w:type="dxa"/>
              <w:right w:w="100" w:type="dxa"/>
            </w:tcMar>
            <w:vAlign w:val="center"/>
          </w:tcPr>
          <w:p w:rsidR="00D22AE7" w:rsidRDefault="005A1FFD">
            <w:pPr>
              <w:jc w:val="center"/>
            </w:pPr>
            <w:r>
              <w:rPr>
                <w:color w:val="000000"/>
                <w:sz w:val="20"/>
                <w:szCs w:val="20"/>
              </w:rPr>
              <w:t>120 pts</w:t>
            </w:r>
          </w:p>
        </w:tc>
        <w:tc>
          <w:tcPr>
            <w:tcW w:w="4360" w:type="dxa"/>
            <w:tcBorders>
              <w:top w:val="single" w:sz="6" w:space="0" w:color="B8C5D6"/>
              <w:left w:val="single" w:sz="6" w:space="0" w:color="B8C5D6"/>
              <w:bottom w:val="single" w:sz="6" w:space="0" w:color="B8C5D6"/>
              <w:right w:val="single" w:sz="6" w:space="0" w:color="B8C5D6"/>
            </w:tcBorders>
            <w:shd w:val="clear" w:color="auto" w:fill="F0F4FA"/>
            <w:tcMar>
              <w:top w:w="80" w:type="dxa"/>
              <w:left w:w="100" w:type="dxa"/>
              <w:bottom w:w="80" w:type="dxa"/>
              <w:right w:w="100" w:type="dxa"/>
            </w:tcMar>
            <w:vAlign w:val="center"/>
          </w:tcPr>
          <w:p w:rsidR="00D22AE7" w:rsidRDefault="005A1FFD">
            <w:r>
              <w:rPr>
                <w:color w:val="000000"/>
                <w:sz w:val="20"/>
                <w:szCs w:val="20"/>
              </w:rPr>
              <w:t>Highest impact on engagement completion ability and long-term vendor viability</w:t>
            </w:r>
          </w:p>
        </w:tc>
      </w:tr>
      <w:tr w:rsidR="00D22AE7">
        <w:tblPrEx>
          <w:tblCellMar>
            <w:top w:w="0" w:type="dxa"/>
            <w:bottom w:w="0" w:type="dxa"/>
          </w:tblCellMar>
        </w:tblPrEx>
        <w:tc>
          <w:tcPr>
            <w:tcW w:w="2400" w:type="dxa"/>
            <w:tcBorders>
              <w:top w:val="single" w:sz="6" w:space="0" w:color="B8C5D6"/>
              <w:left w:val="single" w:sz="6" w:space="0" w:color="B8C5D6"/>
              <w:bottom w:val="single" w:sz="6" w:space="0" w:color="B8C5D6"/>
              <w:right w:val="single" w:sz="6" w:space="0" w:color="B8C5D6"/>
            </w:tcBorders>
            <w:shd w:val="clear" w:color="auto" w:fill="FFFFFF"/>
            <w:tcMar>
              <w:top w:w="80" w:type="dxa"/>
              <w:left w:w="100" w:type="dxa"/>
              <w:bottom w:w="80" w:type="dxa"/>
              <w:right w:w="100" w:type="dxa"/>
            </w:tcMar>
            <w:vAlign w:val="center"/>
          </w:tcPr>
          <w:p w:rsidR="00D22AE7" w:rsidRDefault="005A1FFD">
            <w:r>
              <w:rPr>
                <w:b/>
                <w:bCs/>
                <w:color w:val="000000"/>
                <w:sz w:val="20"/>
                <w:szCs w:val="20"/>
              </w:rPr>
              <w:t>Safety Performance</w:t>
            </w:r>
          </w:p>
        </w:tc>
        <w:tc>
          <w:tcPr>
            <w:tcW w:w="1200" w:type="dxa"/>
            <w:tcBorders>
              <w:top w:val="single" w:sz="6" w:space="0" w:color="B8C5D6"/>
              <w:left w:val="single" w:sz="6" w:space="0" w:color="B8C5D6"/>
              <w:bottom w:val="single" w:sz="6" w:space="0" w:color="B8C5D6"/>
              <w:right w:val="single" w:sz="6" w:space="0" w:color="B8C5D6"/>
            </w:tcBorders>
            <w:shd w:val="clear" w:color="auto" w:fill="FFFFFF"/>
            <w:tcMar>
              <w:top w:w="80" w:type="dxa"/>
              <w:left w:w="100" w:type="dxa"/>
              <w:bottom w:w="80" w:type="dxa"/>
              <w:right w:w="100" w:type="dxa"/>
            </w:tcMar>
            <w:vAlign w:val="center"/>
          </w:tcPr>
          <w:p w:rsidR="00D22AE7" w:rsidRDefault="005A1FFD">
            <w:pPr>
              <w:jc w:val="center"/>
            </w:pPr>
            <w:r>
              <w:rPr>
                <w:color w:val="000000"/>
                <w:sz w:val="20"/>
                <w:szCs w:val="20"/>
              </w:rPr>
              <w:t>20%</w:t>
            </w:r>
          </w:p>
        </w:tc>
        <w:tc>
          <w:tcPr>
            <w:tcW w:w="1400" w:type="dxa"/>
            <w:tcBorders>
              <w:top w:val="single" w:sz="6" w:space="0" w:color="B8C5D6"/>
              <w:left w:val="single" w:sz="6" w:space="0" w:color="B8C5D6"/>
              <w:bottom w:val="single" w:sz="6" w:space="0" w:color="B8C5D6"/>
              <w:right w:val="single" w:sz="6" w:space="0" w:color="B8C5D6"/>
            </w:tcBorders>
            <w:shd w:val="clear" w:color="auto" w:fill="FFFFFF"/>
            <w:tcMar>
              <w:top w:w="80" w:type="dxa"/>
              <w:left w:w="100" w:type="dxa"/>
              <w:bottom w:w="80" w:type="dxa"/>
              <w:right w:w="100" w:type="dxa"/>
            </w:tcMar>
            <w:vAlign w:val="center"/>
          </w:tcPr>
          <w:p w:rsidR="00D22AE7" w:rsidRDefault="005A1FFD">
            <w:pPr>
              <w:jc w:val="center"/>
            </w:pPr>
            <w:r>
              <w:rPr>
                <w:color w:val="000000"/>
                <w:sz w:val="20"/>
                <w:szCs w:val="20"/>
              </w:rPr>
              <w:t>80 pts</w:t>
            </w:r>
          </w:p>
        </w:tc>
        <w:tc>
          <w:tcPr>
            <w:tcW w:w="4360" w:type="dxa"/>
            <w:tcBorders>
              <w:top w:val="single" w:sz="6" w:space="0" w:color="B8C5D6"/>
              <w:left w:val="single" w:sz="6" w:space="0" w:color="B8C5D6"/>
              <w:bottom w:val="single" w:sz="6" w:space="0" w:color="B8C5D6"/>
              <w:right w:val="single" w:sz="6" w:space="0" w:color="B8C5D6"/>
            </w:tcBorders>
            <w:shd w:val="clear" w:color="auto" w:fill="FFFFFF"/>
            <w:tcMar>
              <w:top w:w="80" w:type="dxa"/>
              <w:left w:w="100" w:type="dxa"/>
              <w:bottom w:w="80" w:type="dxa"/>
              <w:right w:w="100" w:type="dxa"/>
            </w:tcMar>
            <w:vAlign w:val="center"/>
          </w:tcPr>
          <w:p w:rsidR="00D22AE7" w:rsidRDefault="005A1FFD">
            <w:r>
              <w:rPr>
                <w:color w:val="000000"/>
                <w:sz w:val="20"/>
                <w:szCs w:val="20"/>
              </w:rPr>
              <w:t>Critical to WWRGD liability exposure, workforce protection, and regulatory obligations — applies to both field-based and office/professional service vendors</w:t>
            </w:r>
          </w:p>
        </w:tc>
      </w:tr>
      <w:tr w:rsidR="00D22AE7">
        <w:tblPrEx>
          <w:tblCellMar>
            <w:top w:w="0" w:type="dxa"/>
            <w:bottom w:w="0" w:type="dxa"/>
          </w:tblCellMar>
        </w:tblPrEx>
        <w:tc>
          <w:tcPr>
            <w:tcW w:w="2400" w:type="dxa"/>
            <w:tcBorders>
              <w:top w:val="single" w:sz="6" w:space="0" w:color="B8C5D6"/>
              <w:left w:val="single" w:sz="6" w:space="0" w:color="B8C5D6"/>
              <w:bottom w:val="single" w:sz="6" w:space="0" w:color="B8C5D6"/>
              <w:right w:val="single" w:sz="6" w:space="0" w:color="B8C5D6"/>
            </w:tcBorders>
            <w:shd w:val="clear" w:color="auto" w:fill="F0F4FA"/>
            <w:tcMar>
              <w:top w:w="80" w:type="dxa"/>
              <w:left w:w="100" w:type="dxa"/>
              <w:bottom w:w="80" w:type="dxa"/>
              <w:right w:w="100" w:type="dxa"/>
            </w:tcMar>
            <w:vAlign w:val="center"/>
          </w:tcPr>
          <w:p w:rsidR="00D22AE7" w:rsidRDefault="005A1FFD">
            <w:r>
              <w:rPr>
                <w:b/>
                <w:bCs/>
                <w:color w:val="000000"/>
                <w:sz w:val="20"/>
                <w:szCs w:val="20"/>
              </w:rPr>
              <w:lastRenderedPageBreak/>
              <w:t>Quality / Performance History</w:t>
            </w:r>
          </w:p>
        </w:tc>
        <w:tc>
          <w:tcPr>
            <w:tcW w:w="1200" w:type="dxa"/>
            <w:tcBorders>
              <w:top w:val="single" w:sz="6" w:space="0" w:color="B8C5D6"/>
              <w:left w:val="single" w:sz="6" w:space="0" w:color="B8C5D6"/>
              <w:bottom w:val="single" w:sz="6" w:space="0" w:color="B8C5D6"/>
              <w:right w:val="single" w:sz="6" w:space="0" w:color="B8C5D6"/>
            </w:tcBorders>
            <w:shd w:val="clear" w:color="auto" w:fill="F0F4FA"/>
            <w:tcMar>
              <w:top w:w="80" w:type="dxa"/>
              <w:left w:w="100" w:type="dxa"/>
              <w:bottom w:w="80" w:type="dxa"/>
              <w:right w:w="100" w:type="dxa"/>
            </w:tcMar>
            <w:vAlign w:val="center"/>
          </w:tcPr>
          <w:p w:rsidR="00D22AE7" w:rsidRDefault="005A1FFD">
            <w:pPr>
              <w:jc w:val="center"/>
            </w:pPr>
            <w:r>
              <w:rPr>
                <w:color w:val="000000"/>
                <w:sz w:val="20"/>
                <w:szCs w:val="20"/>
              </w:rPr>
              <w:t>20%</w:t>
            </w:r>
          </w:p>
        </w:tc>
        <w:tc>
          <w:tcPr>
            <w:tcW w:w="1400" w:type="dxa"/>
            <w:tcBorders>
              <w:top w:val="single" w:sz="6" w:space="0" w:color="B8C5D6"/>
              <w:left w:val="single" w:sz="6" w:space="0" w:color="B8C5D6"/>
              <w:bottom w:val="single" w:sz="6" w:space="0" w:color="B8C5D6"/>
              <w:right w:val="single" w:sz="6" w:space="0" w:color="B8C5D6"/>
            </w:tcBorders>
            <w:shd w:val="clear" w:color="auto" w:fill="F0F4FA"/>
            <w:tcMar>
              <w:top w:w="80" w:type="dxa"/>
              <w:left w:w="100" w:type="dxa"/>
              <w:bottom w:w="80" w:type="dxa"/>
              <w:right w:w="100" w:type="dxa"/>
            </w:tcMar>
            <w:vAlign w:val="center"/>
          </w:tcPr>
          <w:p w:rsidR="00D22AE7" w:rsidRDefault="005A1FFD">
            <w:pPr>
              <w:jc w:val="center"/>
            </w:pPr>
            <w:r>
              <w:rPr>
                <w:color w:val="000000"/>
                <w:sz w:val="20"/>
                <w:szCs w:val="20"/>
              </w:rPr>
              <w:t>80 pts</w:t>
            </w:r>
          </w:p>
        </w:tc>
        <w:tc>
          <w:tcPr>
            <w:tcW w:w="4360" w:type="dxa"/>
            <w:tcBorders>
              <w:top w:val="single" w:sz="6" w:space="0" w:color="B8C5D6"/>
              <w:left w:val="single" w:sz="6" w:space="0" w:color="B8C5D6"/>
              <w:bottom w:val="single" w:sz="6" w:space="0" w:color="B8C5D6"/>
              <w:right w:val="single" w:sz="6" w:space="0" w:color="B8C5D6"/>
            </w:tcBorders>
            <w:shd w:val="clear" w:color="auto" w:fill="F0F4FA"/>
            <w:tcMar>
              <w:top w:w="80" w:type="dxa"/>
              <w:left w:w="100" w:type="dxa"/>
              <w:bottom w:w="80" w:type="dxa"/>
              <w:right w:w="100" w:type="dxa"/>
            </w:tcMar>
            <w:vAlign w:val="center"/>
          </w:tcPr>
          <w:p w:rsidR="00D22AE7" w:rsidRDefault="005A1FFD">
            <w:r>
              <w:rPr>
                <w:color w:val="000000"/>
                <w:sz w:val="20"/>
                <w:szCs w:val="20"/>
              </w:rPr>
              <w:t>Direct indicator of the vendor's ability to deliver to agreed specifications, timelines, and service levels</w:t>
            </w:r>
          </w:p>
        </w:tc>
      </w:tr>
      <w:tr w:rsidR="00D22AE7">
        <w:tblPrEx>
          <w:tblCellMar>
            <w:top w:w="0" w:type="dxa"/>
            <w:bottom w:w="0" w:type="dxa"/>
          </w:tblCellMar>
        </w:tblPrEx>
        <w:tc>
          <w:tcPr>
            <w:tcW w:w="2400" w:type="dxa"/>
            <w:tcBorders>
              <w:top w:val="single" w:sz="6" w:space="0" w:color="B8C5D6"/>
              <w:left w:val="single" w:sz="6" w:space="0" w:color="B8C5D6"/>
              <w:bottom w:val="single" w:sz="6" w:space="0" w:color="B8C5D6"/>
              <w:right w:val="single" w:sz="6" w:space="0" w:color="B8C5D6"/>
            </w:tcBorders>
            <w:shd w:val="clear" w:color="auto" w:fill="FFFFFF"/>
            <w:tcMar>
              <w:top w:w="80" w:type="dxa"/>
              <w:left w:w="100" w:type="dxa"/>
              <w:bottom w:w="80" w:type="dxa"/>
              <w:right w:w="100" w:type="dxa"/>
            </w:tcMar>
            <w:vAlign w:val="center"/>
          </w:tcPr>
          <w:p w:rsidR="00D22AE7" w:rsidRDefault="005A1FFD">
            <w:r>
              <w:rPr>
                <w:b/>
                <w:bCs/>
                <w:color w:val="000000"/>
                <w:sz w:val="20"/>
                <w:szCs w:val="20"/>
              </w:rPr>
              <w:t>Operational Capacity</w:t>
            </w:r>
          </w:p>
        </w:tc>
        <w:tc>
          <w:tcPr>
            <w:tcW w:w="1200" w:type="dxa"/>
            <w:tcBorders>
              <w:top w:val="single" w:sz="6" w:space="0" w:color="B8C5D6"/>
              <w:left w:val="single" w:sz="6" w:space="0" w:color="B8C5D6"/>
              <w:bottom w:val="single" w:sz="6" w:space="0" w:color="B8C5D6"/>
              <w:right w:val="single" w:sz="6" w:space="0" w:color="B8C5D6"/>
            </w:tcBorders>
            <w:shd w:val="clear" w:color="auto" w:fill="FFFFFF"/>
            <w:tcMar>
              <w:top w:w="80" w:type="dxa"/>
              <w:left w:w="100" w:type="dxa"/>
              <w:bottom w:w="80" w:type="dxa"/>
              <w:right w:w="100" w:type="dxa"/>
            </w:tcMar>
            <w:vAlign w:val="center"/>
          </w:tcPr>
          <w:p w:rsidR="00D22AE7" w:rsidRDefault="005A1FFD">
            <w:pPr>
              <w:jc w:val="center"/>
            </w:pPr>
            <w:r>
              <w:rPr>
                <w:color w:val="000000"/>
                <w:sz w:val="20"/>
                <w:szCs w:val="20"/>
              </w:rPr>
              <w:t>20%</w:t>
            </w:r>
          </w:p>
        </w:tc>
        <w:tc>
          <w:tcPr>
            <w:tcW w:w="1400" w:type="dxa"/>
            <w:tcBorders>
              <w:top w:val="single" w:sz="6" w:space="0" w:color="B8C5D6"/>
              <w:left w:val="single" w:sz="6" w:space="0" w:color="B8C5D6"/>
              <w:bottom w:val="single" w:sz="6" w:space="0" w:color="B8C5D6"/>
              <w:right w:val="single" w:sz="6" w:space="0" w:color="B8C5D6"/>
            </w:tcBorders>
            <w:shd w:val="clear" w:color="auto" w:fill="FFFFFF"/>
            <w:tcMar>
              <w:top w:w="80" w:type="dxa"/>
              <w:left w:w="100" w:type="dxa"/>
              <w:bottom w:w="80" w:type="dxa"/>
              <w:right w:w="100" w:type="dxa"/>
            </w:tcMar>
            <w:vAlign w:val="center"/>
          </w:tcPr>
          <w:p w:rsidR="00D22AE7" w:rsidRDefault="005A1FFD">
            <w:pPr>
              <w:jc w:val="center"/>
            </w:pPr>
            <w:r>
              <w:rPr>
                <w:color w:val="000000"/>
                <w:sz w:val="20"/>
                <w:szCs w:val="20"/>
              </w:rPr>
              <w:t>80 pts</w:t>
            </w:r>
          </w:p>
        </w:tc>
        <w:tc>
          <w:tcPr>
            <w:tcW w:w="4360" w:type="dxa"/>
            <w:tcBorders>
              <w:top w:val="single" w:sz="6" w:space="0" w:color="B8C5D6"/>
              <w:left w:val="single" w:sz="6" w:space="0" w:color="B8C5D6"/>
              <w:bottom w:val="single" w:sz="6" w:space="0" w:color="B8C5D6"/>
              <w:right w:val="single" w:sz="6" w:space="0" w:color="B8C5D6"/>
            </w:tcBorders>
            <w:shd w:val="clear" w:color="auto" w:fill="FFFFFF"/>
            <w:tcMar>
              <w:top w:w="80" w:type="dxa"/>
              <w:left w:w="100" w:type="dxa"/>
              <w:bottom w:w="80" w:type="dxa"/>
              <w:right w:w="100" w:type="dxa"/>
            </w:tcMar>
            <w:vAlign w:val="center"/>
          </w:tcPr>
          <w:p w:rsidR="00D22AE7" w:rsidRDefault="005A1FFD">
            <w:r>
              <w:rPr>
                <w:color w:val="000000"/>
                <w:sz w:val="20"/>
                <w:szCs w:val="20"/>
              </w:rPr>
              <w:t>Ensures the vendor has sufficient bandwidth, staffing, and infrastructure to execute the engagement alongside existing commitments</w:t>
            </w:r>
          </w:p>
        </w:tc>
      </w:tr>
      <w:tr w:rsidR="00D22AE7">
        <w:tblPrEx>
          <w:tblCellMar>
            <w:top w:w="0" w:type="dxa"/>
            <w:bottom w:w="0" w:type="dxa"/>
          </w:tblCellMar>
        </w:tblPrEx>
        <w:tc>
          <w:tcPr>
            <w:tcW w:w="2400" w:type="dxa"/>
            <w:tcBorders>
              <w:top w:val="single" w:sz="6" w:space="0" w:color="B8C5D6"/>
              <w:left w:val="single" w:sz="6" w:space="0" w:color="B8C5D6"/>
              <w:bottom w:val="single" w:sz="6" w:space="0" w:color="B8C5D6"/>
              <w:right w:val="single" w:sz="6" w:space="0" w:color="B8C5D6"/>
            </w:tcBorders>
            <w:shd w:val="clear" w:color="auto" w:fill="F0F4FA"/>
            <w:tcMar>
              <w:top w:w="80" w:type="dxa"/>
              <w:left w:w="100" w:type="dxa"/>
              <w:bottom w:w="80" w:type="dxa"/>
              <w:right w:w="100" w:type="dxa"/>
            </w:tcMar>
            <w:vAlign w:val="center"/>
          </w:tcPr>
          <w:p w:rsidR="00D22AE7" w:rsidRDefault="005A1FFD">
            <w:r>
              <w:rPr>
                <w:b/>
                <w:bCs/>
                <w:color w:val="000000"/>
                <w:sz w:val="20"/>
                <w:szCs w:val="20"/>
              </w:rPr>
              <w:t>Compliance Record</w:t>
            </w:r>
          </w:p>
        </w:tc>
        <w:tc>
          <w:tcPr>
            <w:tcW w:w="1200" w:type="dxa"/>
            <w:tcBorders>
              <w:top w:val="single" w:sz="6" w:space="0" w:color="B8C5D6"/>
              <w:left w:val="single" w:sz="6" w:space="0" w:color="B8C5D6"/>
              <w:bottom w:val="single" w:sz="6" w:space="0" w:color="B8C5D6"/>
              <w:right w:val="single" w:sz="6" w:space="0" w:color="B8C5D6"/>
            </w:tcBorders>
            <w:shd w:val="clear" w:color="auto" w:fill="F0F4FA"/>
            <w:tcMar>
              <w:top w:w="80" w:type="dxa"/>
              <w:left w:w="100" w:type="dxa"/>
              <w:bottom w:w="80" w:type="dxa"/>
              <w:right w:w="100" w:type="dxa"/>
            </w:tcMar>
            <w:vAlign w:val="center"/>
          </w:tcPr>
          <w:p w:rsidR="00D22AE7" w:rsidRDefault="005A1FFD">
            <w:pPr>
              <w:jc w:val="center"/>
            </w:pPr>
            <w:r>
              <w:rPr>
                <w:color w:val="000000"/>
                <w:sz w:val="20"/>
                <w:szCs w:val="20"/>
              </w:rPr>
              <w:t>10%</w:t>
            </w:r>
          </w:p>
        </w:tc>
        <w:tc>
          <w:tcPr>
            <w:tcW w:w="1400" w:type="dxa"/>
            <w:tcBorders>
              <w:top w:val="single" w:sz="6" w:space="0" w:color="B8C5D6"/>
              <w:left w:val="single" w:sz="6" w:space="0" w:color="B8C5D6"/>
              <w:bottom w:val="single" w:sz="6" w:space="0" w:color="B8C5D6"/>
              <w:right w:val="single" w:sz="6" w:space="0" w:color="B8C5D6"/>
            </w:tcBorders>
            <w:shd w:val="clear" w:color="auto" w:fill="F0F4FA"/>
            <w:tcMar>
              <w:top w:w="80" w:type="dxa"/>
              <w:left w:w="100" w:type="dxa"/>
              <w:bottom w:w="80" w:type="dxa"/>
              <w:right w:w="100" w:type="dxa"/>
            </w:tcMar>
            <w:vAlign w:val="center"/>
          </w:tcPr>
          <w:p w:rsidR="00D22AE7" w:rsidRDefault="005A1FFD">
            <w:pPr>
              <w:jc w:val="center"/>
            </w:pPr>
            <w:r>
              <w:rPr>
                <w:color w:val="000000"/>
                <w:sz w:val="20"/>
                <w:szCs w:val="20"/>
              </w:rPr>
              <w:t>20 pts</w:t>
            </w:r>
          </w:p>
        </w:tc>
        <w:tc>
          <w:tcPr>
            <w:tcW w:w="4360" w:type="dxa"/>
            <w:tcBorders>
              <w:top w:val="single" w:sz="6" w:space="0" w:color="B8C5D6"/>
              <w:left w:val="single" w:sz="6" w:space="0" w:color="B8C5D6"/>
              <w:bottom w:val="single" w:sz="6" w:space="0" w:color="B8C5D6"/>
              <w:right w:val="single" w:sz="6" w:space="0" w:color="B8C5D6"/>
            </w:tcBorders>
            <w:shd w:val="clear" w:color="auto" w:fill="F0F4FA"/>
            <w:tcMar>
              <w:top w:w="80" w:type="dxa"/>
              <w:left w:w="100" w:type="dxa"/>
              <w:bottom w:w="80" w:type="dxa"/>
              <w:right w:w="100" w:type="dxa"/>
            </w:tcMar>
            <w:vAlign w:val="center"/>
          </w:tcPr>
          <w:p w:rsidR="00D22AE7" w:rsidRDefault="005A1FFD">
            <w:r>
              <w:rPr>
                <w:color w:val="000000"/>
                <w:sz w:val="20"/>
                <w:szCs w:val="20"/>
              </w:rPr>
              <w:t>Regulatory, legal, and contractual compliance risk mitigation across all applicable jurisdictions and industry standards</w:t>
            </w:r>
          </w:p>
        </w:tc>
      </w:tr>
      <w:tr w:rsidR="00D22AE7">
        <w:tblPrEx>
          <w:tblCellMar>
            <w:top w:w="0" w:type="dxa"/>
            <w:bottom w:w="0" w:type="dxa"/>
          </w:tblCellMar>
        </w:tblPrEx>
        <w:tc>
          <w:tcPr>
            <w:tcW w:w="2400" w:type="dxa"/>
            <w:tcBorders>
              <w:top w:val="single" w:sz="6" w:space="0" w:color="B8C5D6"/>
              <w:left w:val="single" w:sz="6" w:space="0" w:color="B8C5D6"/>
              <w:bottom w:val="single" w:sz="6" w:space="0" w:color="B8C5D6"/>
              <w:right w:val="single" w:sz="6" w:space="0" w:color="B8C5D6"/>
            </w:tcBorders>
            <w:shd w:val="clear" w:color="auto" w:fill="FFFFFF"/>
            <w:tcMar>
              <w:top w:w="80" w:type="dxa"/>
              <w:left w:w="100" w:type="dxa"/>
              <w:bottom w:w="80" w:type="dxa"/>
              <w:right w:w="100" w:type="dxa"/>
            </w:tcMar>
            <w:vAlign w:val="center"/>
          </w:tcPr>
          <w:p w:rsidR="00D22AE7" w:rsidRDefault="005A1FFD">
            <w:r>
              <w:rPr>
                <w:b/>
                <w:bCs/>
                <w:color w:val="000000"/>
                <w:sz w:val="20"/>
                <w:szCs w:val="20"/>
              </w:rPr>
              <w:t>Technology Capabilities</w:t>
            </w:r>
          </w:p>
        </w:tc>
        <w:tc>
          <w:tcPr>
            <w:tcW w:w="1200" w:type="dxa"/>
            <w:tcBorders>
              <w:top w:val="single" w:sz="6" w:space="0" w:color="B8C5D6"/>
              <w:left w:val="single" w:sz="6" w:space="0" w:color="B8C5D6"/>
              <w:bottom w:val="single" w:sz="6" w:space="0" w:color="B8C5D6"/>
              <w:right w:val="single" w:sz="6" w:space="0" w:color="B8C5D6"/>
            </w:tcBorders>
            <w:shd w:val="clear" w:color="auto" w:fill="FFFFFF"/>
            <w:tcMar>
              <w:top w:w="80" w:type="dxa"/>
              <w:left w:w="100" w:type="dxa"/>
              <w:bottom w:w="80" w:type="dxa"/>
              <w:right w:w="100" w:type="dxa"/>
            </w:tcMar>
            <w:vAlign w:val="center"/>
          </w:tcPr>
          <w:p w:rsidR="00D22AE7" w:rsidRDefault="005A1FFD">
            <w:pPr>
              <w:jc w:val="center"/>
            </w:pPr>
            <w:r>
              <w:rPr>
                <w:color w:val="000000"/>
                <w:sz w:val="20"/>
                <w:szCs w:val="20"/>
              </w:rPr>
              <w:t>10%</w:t>
            </w:r>
          </w:p>
        </w:tc>
        <w:tc>
          <w:tcPr>
            <w:tcW w:w="1400" w:type="dxa"/>
            <w:tcBorders>
              <w:top w:val="single" w:sz="6" w:space="0" w:color="B8C5D6"/>
              <w:left w:val="single" w:sz="6" w:space="0" w:color="B8C5D6"/>
              <w:bottom w:val="single" w:sz="6" w:space="0" w:color="B8C5D6"/>
              <w:right w:val="single" w:sz="6" w:space="0" w:color="B8C5D6"/>
            </w:tcBorders>
            <w:shd w:val="clear" w:color="auto" w:fill="FFFFFF"/>
            <w:tcMar>
              <w:top w:w="80" w:type="dxa"/>
              <w:left w:w="100" w:type="dxa"/>
              <w:bottom w:w="80" w:type="dxa"/>
              <w:right w:w="100" w:type="dxa"/>
            </w:tcMar>
            <w:vAlign w:val="center"/>
          </w:tcPr>
          <w:p w:rsidR="00D22AE7" w:rsidRDefault="005A1FFD">
            <w:pPr>
              <w:jc w:val="center"/>
            </w:pPr>
            <w:r>
              <w:rPr>
                <w:color w:val="000000"/>
                <w:sz w:val="20"/>
                <w:szCs w:val="20"/>
              </w:rPr>
              <w:t>20 pts</w:t>
            </w:r>
          </w:p>
        </w:tc>
        <w:tc>
          <w:tcPr>
            <w:tcW w:w="4360" w:type="dxa"/>
            <w:tcBorders>
              <w:top w:val="single" w:sz="6" w:space="0" w:color="B8C5D6"/>
              <w:left w:val="single" w:sz="6" w:space="0" w:color="B8C5D6"/>
              <w:bottom w:val="single" w:sz="6" w:space="0" w:color="B8C5D6"/>
              <w:right w:val="single" w:sz="6" w:space="0" w:color="B8C5D6"/>
            </w:tcBorders>
            <w:shd w:val="clear" w:color="auto" w:fill="FFFFFF"/>
            <w:tcMar>
              <w:top w:w="80" w:type="dxa"/>
              <w:left w:w="100" w:type="dxa"/>
              <w:bottom w:w="80" w:type="dxa"/>
              <w:right w:w="100" w:type="dxa"/>
            </w:tcMar>
            <w:vAlign w:val="center"/>
          </w:tcPr>
          <w:p w:rsidR="00D22AE7" w:rsidRDefault="005A1FFD">
            <w:r>
              <w:rPr>
                <w:color w:val="000000"/>
                <w:sz w:val="20"/>
                <w:szCs w:val="20"/>
              </w:rPr>
              <w:t>Efficiency, data security, integration capabilities, and use of industry-standard platforms and reporting tools</w:t>
            </w:r>
          </w:p>
        </w:tc>
      </w:tr>
      <w:tr w:rsidR="00D22AE7">
        <w:tblPrEx>
          <w:tblCellMar>
            <w:top w:w="0" w:type="dxa"/>
            <w:bottom w:w="0" w:type="dxa"/>
          </w:tblCellMar>
        </w:tblPrEx>
        <w:tc>
          <w:tcPr>
            <w:tcW w:w="2400" w:type="dxa"/>
            <w:tcBorders>
              <w:top w:val="single" w:sz="6" w:space="0" w:color="B8C5D6"/>
              <w:left w:val="single" w:sz="6" w:space="0" w:color="B8C5D6"/>
              <w:bottom w:val="single" w:sz="6" w:space="0" w:color="B8C5D6"/>
              <w:right w:val="single" w:sz="6" w:space="0" w:color="B8C5D6"/>
            </w:tcBorders>
            <w:shd w:val="clear" w:color="auto" w:fill="1B3A6B"/>
            <w:tcMar>
              <w:top w:w="80" w:type="dxa"/>
              <w:left w:w="100" w:type="dxa"/>
              <w:bottom w:w="80" w:type="dxa"/>
              <w:right w:w="100" w:type="dxa"/>
            </w:tcMar>
            <w:vAlign w:val="center"/>
          </w:tcPr>
          <w:p w:rsidR="00D22AE7" w:rsidRDefault="005A1FFD">
            <w:r>
              <w:rPr>
                <w:b/>
                <w:bCs/>
                <w:color w:val="FFFFFF"/>
                <w:sz w:val="20"/>
                <w:szCs w:val="20"/>
              </w:rPr>
              <w:t>TOTAL</w:t>
            </w:r>
          </w:p>
        </w:tc>
        <w:tc>
          <w:tcPr>
            <w:tcW w:w="1200" w:type="dxa"/>
            <w:tcBorders>
              <w:top w:val="single" w:sz="6" w:space="0" w:color="B8C5D6"/>
              <w:left w:val="single" w:sz="6" w:space="0" w:color="B8C5D6"/>
              <w:bottom w:val="single" w:sz="6" w:space="0" w:color="B8C5D6"/>
              <w:right w:val="single" w:sz="6" w:space="0" w:color="B8C5D6"/>
            </w:tcBorders>
            <w:shd w:val="clear" w:color="auto" w:fill="1B3A6B"/>
            <w:tcMar>
              <w:top w:w="80" w:type="dxa"/>
              <w:left w:w="100" w:type="dxa"/>
              <w:bottom w:w="80" w:type="dxa"/>
              <w:right w:w="100" w:type="dxa"/>
            </w:tcMar>
            <w:vAlign w:val="center"/>
          </w:tcPr>
          <w:p w:rsidR="00D22AE7" w:rsidRDefault="005A1FFD">
            <w:pPr>
              <w:jc w:val="center"/>
            </w:pPr>
            <w:r>
              <w:rPr>
                <w:b/>
                <w:bCs/>
                <w:color w:val="FFFFFF"/>
                <w:sz w:val="20"/>
                <w:szCs w:val="20"/>
              </w:rPr>
              <w:t>100%</w:t>
            </w:r>
          </w:p>
        </w:tc>
        <w:tc>
          <w:tcPr>
            <w:tcW w:w="1400" w:type="dxa"/>
            <w:tcBorders>
              <w:top w:val="single" w:sz="6" w:space="0" w:color="B8C5D6"/>
              <w:left w:val="single" w:sz="6" w:space="0" w:color="B8C5D6"/>
              <w:bottom w:val="single" w:sz="6" w:space="0" w:color="B8C5D6"/>
              <w:right w:val="single" w:sz="6" w:space="0" w:color="B8C5D6"/>
            </w:tcBorders>
            <w:shd w:val="clear" w:color="auto" w:fill="1B3A6B"/>
            <w:tcMar>
              <w:top w:w="80" w:type="dxa"/>
              <w:left w:w="100" w:type="dxa"/>
              <w:bottom w:w="80" w:type="dxa"/>
              <w:right w:w="100" w:type="dxa"/>
            </w:tcMar>
            <w:vAlign w:val="center"/>
          </w:tcPr>
          <w:p w:rsidR="00D22AE7" w:rsidRDefault="005A1FFD">
            <w:pPr>
              <w:jc w:val="center"/>
            </w:pPr>
            <w:r>
              <w:rPr>
                <w:b/>
                <w:bCs/>
                <w:color w:val="FFFFFF"/>
                <w:sz w:val="20"/>
                <w:szCs w:val="20"/>
              </w:rPr>
              <w:t>400 pts</w:t>
            </w:r>
          </w:p>
        </w:tc>
        <w:tc>
          <w:tcPr>
            <w:tcW w:w="4360" w:type="dxa"/>
            <w:tcBorders>
              <w:top w:val="single" w:sz="6" w:space="0" w:color="B8C5D6"/>
              <w:left w:val="single" w:sz="6" w:space="0" w:color="B8C5D6"/>
              <w:bottom w:val="single" w:sz="6" w:space="0" w:color="B8C5D6"/>
              <w:right w:val="single" w:sz="6" w:space="0" w:color="B8C5D6"/>
            </w:tcBorders>
            <w:shd w:val="clear" w:color="auto" w:fill="1B3A6B"/>
            <w:tcMar>
              <w:top w:w="80" w:type="dxa"/>
              <w:left w:w="100" w:type="dxa"/>
              <w:bottom w:w="80" w:type="dxa"/>
              <w:right w:w="100" w:type="dxa"/>
            </w:tcMar>
            <w:vAlign w:val="center"/>
          </w:tcPr>
          <w:p w:rsidR="00D22AE7" w:rsidRDefault="00D22AE7"/>
        </w:tc>
      </w:tr>
    </w:tbl>
    <w:p w:rsidR="00D22AE7" w:rsidRDefault="00D22AE7">
      <w:pPr>
        <w:spacing w:before="200" w:after="0"/>
      </w:pP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D22AE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B3A6B"/>
            <w:tcMar>
              <w:top w:w="140" w:type="dxa"/>
              <w:left w:w="200" w:type="dxa"/>
              <w:bottom w:w="140" w:type="dxa"/>
              <w:right w:w="200" w:type="dxa"/>
            </w:tcMar>
          </w:tcPr>
          <w:p w:rsidR="00D22AE7" w:rsidRDefault="005A1FFD">
            <w:r>
              <w:rPr>
                <w:b/>
                <w:bCs/>
                <w:color w:val="FFFFFF"/>
                <w:sz w:val="28"/>
                <w:szCs w:val="28"/>
              </w:rPr>
              <w:t>SECTION C: Detailed Scoring Rubrics (1–4 Scale)</w:t>
            </w:r>
          </w:p>
        </w:tc>
      </w:tr>
    </w:tbl>
    <w:p w:rsidR="00D22AE7" w:rsidRDefault="00D22AE7">
      <w:pPr>
        <w:spacing w:before="100" w:after="0"/>
      </w:pPr>
    </w:p>
    <w:p w:rsidR="00D22AE7" w:rsidRDefault="005A1FFD">
      <w:pPr>
        <w:spacing w:after="100" w:line="264" w:lineRule="auto"/>
      </w:pPr>
      <w:r>
        <w:t>For each category, assign a score of 1 (Poor), 2 (Fair), 3 (Good), or 4 (Excellent) based on the criteria below. Use the highest fully-met score level; partial credit within a band is not applicable.</w:t>
      </w:r>
    </w:p>
    <w:p w:rsidR="00D22AE7" w:rsidRDefault="00D22AE7">
      <w:pPr>
        <w:spacing w:before="80" w:after="0"/>
      </w:pPr>
    </w:p>
    <w:p w:rsidR="00D22AE7" w:rsidRDefault="005A1FFD">
      <w:pPr>
        <w:spacing w:before="220" w:after="100"/>
      </w:pPr>
      <w:r>
        <w:rPr>
          <w:b/>
          <w:bCs/>
          <w:color w:val="1B3A6B"/>
          <w:sz w:val="24"/>
          <w:szCs w:val="24"/>
        </w:rPr>
        <w:t>C1. Financial Stability   (30% weight)</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
        <w:gridCol w:w="1079"/>
        <w:gridCol w:w="7460"/>
      </w:tblGrid>
      <w:tr w:rsidR="00D22AE7">
        <w:tblPrEx>
          <w:tblCellMar>
            <w:top w:w="0" w:type="dxa"/>
            <w:bottom w:w="0" w:type="dxa"/>
          </w:tblCellMar>
        </w:tblPrEx>
        <w:trPr>
          <w:tblHeader/>
        </w:trPr>
        <w:tc>
          <w:tcPr>
            <w:tcW w:w="900" w:type="dxa"/>
            <w:tcBorders>
              <w:top w:val="single" w:sz="6" w:space="0" w:color="B8C5D6"/>
              <w:left w:val="single" w:sz="6" w:space="0" w:color="B8C5D6"/>
              <w:bottom w:val="single" w:sz="6" w:space="0" w:color="B8C5D6"/>
              <w:right w:val="single" w:sz="6" w:space="0" w:color="B8C5D6"/>
            </w:tcBorders>
            <w:shd w:val="clear" w:color="auto" w:fill="2E5C9E"/>
            <w:tcMar>
              <w:top w:w="100" w:type="dxa"/>
              <w:left w:w="100" w:type="dxa"/>
              <w:bottom w:w="100" w:type="dxa"/>
              <w:right w:w="100" w:type="dxa"/>
            </w:tcMar>
            <w:vAlign w:val="center"/>
          </w:tcPr>
          <w:p w:rsidR="00D22AE7" w:rsidRDefault="005A1FFD">
            <w:pPr>
              <w:jc w:val="center"/>
            </w:pPr>
            <w:r>
              <w:rPr>
                <w:b/>
                <w:bCs/>
                <w:color w:val="FFFFFF"/>
                <w:sz w:val="20"/>
                <w:szCs w:val="20"/>
              </w:rPr>
              <w:t>Score</w:t>
            </w:r>
          </w:p>
        </w:tc>
        <w:tc>
          <w:tcPr>
            <w:tcW w:w="1000" w:type="dxa"/>
            <w:tcBorders>
              <w:top w:val="single" w:sz="6" w:space="0" w:color="B8C5D6"/>
              <w:left w:val="single" w:sz="6" w:space="0" w:color="B8C5D6"/>
              <w:bottom w:val="single" w:sz="6" w:space="0" w:color="B8C5D6"/>
              <w:right w:val="single" w:sz="6" w:space="0" w:color="B8C5D6"/>
            </w:tcBorders>
            <w:shd w:val="clear" w:color="auto" w:fill="2E5C9E"/>
            <w:tcMar>
              <w:top w:w="100" w:type="dxa"/>
              <w:left w:w="100" w:type="dxa"/>
              <w:bottom w:w="100" w:type="dxa"/>
              <w:right w:w="100" w:type="dxa"/>
            </w:tcMar>
            <w:vAlign w:val="center"/>
          </w:tcPr>
          <w:p w:rsidR="00D22AE7" w:rsidRDefault="005A1FFD">
            <w:pPr>
              <w:jc w:val="center"/>
            </w:pPr>
            <w:r>
              <w:rPr>
                <w:b/>
                <w:bCs/>
                <w:color w:val="FFFFFF"/>
                <w:sz w:val="20"/>
                <w:szCs w:val="20"/>
              </w:rPr>
              <w:t>Level</w:t>
            </w:r>
          </w:p>
        </w:tc>
        <w:tc>
          <w:tcPr>
            <w:tcW w:w="7460" w:type="dxa"/>
            <w:tcBorders>
              <w:top w:val="single" w:sz="6" w:space="0" w:color="B8C5D6"/>
              <w:left w:val="single" w:sz="6" w:space="0" w:color="B8C5D6"/>
              <w:bottom w:val="single" w:sz="6" w:space="0" w:color="B8C5D6"/>
              <w:right w:val="single" w:sz="6" w:space="0" w:color="B8C5D6"/>
            </w:tcBorders>
            <w:shd w:val="clear" w:color="auto" w:fill="2E5C9E"/>
            <w:tcMar>
              <w:top w:w="100" w:type="dxa"/>
              <w:left w:w="100" w:type="dxa"/>
              <w:bottom w:w="100" w:type="dxa"/>
              <w:right w:w="100" w:type="dxa"/>
            </w:tcMar>
            <w:vAlign w:val="center"/>
          </w:tcPr>
          <w:p w:rsidR="00D22AE7" w:rsidRDefault="005A1FFD">
            <w:pPr>
              <w:jc w:val="center"/>
            </w:pPr>
            <w:r>
              <w:rPr>
                <w:b/>
                <w:bCs/>
                <w:color w:val="FFFFFF"/>
                <w:sz w:val="20"/>
                <w:szCs w:val="20"/>
              </w:rPr>
              <w:t>Criteria</w:t>
            </w:r>
          </w:p>
        </w:tc>
      </w:tr>
      <w:tr w:rsidR="00D22AE7">
        <w:tblPrEx>
          <w:tblCellMar>
            <w:top w:w="0" w:type="dxa"/>
            <w:bottom w:w="0" w:type="dxa"/>
          </w:tblCellMar>
        </w:tblPrEx>
        <w:tc>
          <w:tcPr>
            <w:tcW w:w="900" w:type="dxa"/>
            <w:tcBorders>
              <w:top w:val="single" w:sz="6" w:space="0" w:color="B8C5D6"/>
              <w:left w:val="single" w:sz="6" w:space="0" w:color="B8C5D6"/>
              <w:bottom w:val="single" w:sz="6" w:space="0" w:color="B8C5D6"/>
              <w:right w:val="single" w:sz="6" w:space="0" w:color="B8C5D6"/>
            </w:tcBorders>
            <w:shd w:val="clear" w:color="auto" w:fill="E8F5E9"/>
            <w:tcMar>
              <w:top w:w="80" w:type="dxa"/>
              <w:left w:w="100" w:type="dxa"/>
              <w:bottom w:w="80" w:type="dxa"/>
              <w:right w:w="100" w:type="dxa"/>
            </w:tcMar>
            <w:vAlign w:val="center"/>
          </w:tcPr>
          <w:p w:rsidR="00D22AE7" w:rsidRDefault="005A1FFD">
            <w:pPr>
              <w:jc w:val="center"/>
            </w:pPr>
            <w:r>
              <w:rPr>
                <w:b/>
                <w:bCs/>
                <w:color w:val="000000"/>
                <w:sz w:val="20"/>
                <w:szCs w:val="20"/>
              </w:rPr>
              <w:t>4</w:t>
            </w:r>
          </w:p>
        </w:tc>
        <w:tc>
          <w:tcPr>
            <w:tcW w:w="1000" w:type="dxa"/>
            <w:tcBorders>
              <w:top w:val="single" w:sz="6" w:space="0" w:color="B8C5D6"/>
              <w:left w:val="single" w:sz="6" w:space="0" w:color="B8C5D6"/>
              <w:bottom w:val="single" w:sz="6" w:space="0" w:color="B8C5D6"/>
              <w:right w:val="single" w:sz="6" w:space="0" w:color="B8C5D6"/>
            </w:tcBorders>
            <w:shd w:val="clear" w:color="auto" w:fill="E8F5E9"/>
            <w:tcMar>
              <w:top w:w="80" w:type="dxa"/>
              <w:left w:w="100" w:type="dxa"/>
              <w:bottom w:w="80" w:type="dxa"/>
              <w:right w:w="100" w:type="dxa"/>
            </w:tcMar>
            <w:vAlign w:val="center"/>
          </w:tcPr>
          <w:p w:rsidR="00D22AE7" w:rsidRDefault="005A1FFD">
            <w:r>
              <w:rPr>
                <w:b/>
                <w:bCs/>
                <w:color w:val="000000"/>
                <w:sz w:val="20"/>
                <w:szCs w:val="20"/>
              </w:rPr>
              <w:t>Excellent</w:t>
            </w:r>
          </w:p>
        </w:tc>
        <w:tc>
          <w:tcPr>
            <w:tcW w:w="7460" w:type="dxa"/>
            <w:tcBorders>
              <w:top w:val="single" w:sz="6" w:space="0" w:color="B8C5D6"/>
              <w:left w:val="single" w:sz="6" w:space="0" w:color="B8C5D6"/>
              <w:bottom w:val="single" w:sz="6" w:space="0" w:color="B8C5D6"/>
              <w:right w:val="single" w:sz="6" w:space="0" w:color="B8C5D6"/>
            </w:tcBorders>
            <w:shd w:val="clear" w:color="auto" w:fill="E8F5E9"/>
            <w:tcMar>
              <w:top w:w="80" w:type="dxa"/>
              <w:left w:w="100" w:type="dxa"/>
              <w:bottom w:w="80" w:type="dxa"/>
              <w:right w:w="100" w:type="dxa"/>
            </w:tcMar>
          </w:tcPr>
          <w:p w:rsidR="00D22AE7" w:rsidRDefault="005A1FFD">
            <w:r>
              <w:rPr>
                <w:sz w:val="20"/>
                <w:szCs w:val="20"/>
              </w:rPr>
              <w:t>Debt-to-equity (D/E) ratio &lt; 0.5; strong positive operating cash flow</w:t>
            </w:r>
          </w:p>
          <w:p w:rsidR="00D22AE7" w:rsidRDefault="005A1FFD">
            <w:r>
              <w:rPr>
                <w:sz w:val="20"/>
                <w:szCs w:val="20"/>
              </w:rPr>
              <w:t>Insurance and/or bond capacity &gt; 150% of engagement value where applicable</w:t>
            </w:r>
          </w:p>
          <w:p w:rsidR="00D22AE7" w:rsidRDefault="005A1FFD">
            <w:r>
              <w:rPr>
                <w:sz w:val="20"/>
                <w:szCs w:val="20"/>
              </w:rPr>
              <w:t>Audited financials with clean opinion; no material audit findings for 3+ years</w:t>
            </w:r>
          </w:p>
          <w:p w:rsidR="00D22AE7" w:rsidRDefault="005A1FFD">
            <w:r>
              <w:rPr>
                <w:sz w:val="20"/>
                <w:szCs w:val="20"/>
              </w:rPr>
              <w:t>Consistent revenue growth; healthy working capital ratios</w:t>
            </w:r>
          </w:p>
        </w:tc>
      </w:tr>
      <w:tr w:rsidR="00D22AE7">
        <w:tblPrEx>
          <w:tblCellMar>
            <w:top w:w="0" w:type="dxa"/>
            <w:bottom w:w="0" w:type="dxa"/>
          </w:tblCellMar>
        </w:tblPrEx>
        <w:tc>
          <w:tcPr>
            <w:tcW w:w="900" w:type="dxa"/>
            <w:tcBorders>
              <w:top w:val="single" w:sz="6" w:space="0" w:color="B8C5D6"/>
              <w:left w:val="single" w:sz="6" w:space="0" w:color="B8C5D6"/>
              <w:bottom w:val="single" w:sz="6" w:space="0" w:color="B8C5D6"/>
              <w:right w:val="single" w:sz="6" w:space="0" w:color="B8C5D6"/>
            </w:tcBorders>
            <w:shd w:val="clear" w:color="auto" w:fill="F1F8E9"/>
            <w:tcMar>
              <w:top w:w="80" w:type="dxa"/>
              <w:left w:w="100" w:type="dxa"/>
              <w:bottom w:w="80" w:type="dxa"/>
              <w:right w:w="100" w:type="dxa"/>
            </w:tcMar>
            <w:vAlign w:val="center"/>
          </w:tcPr>
          <w:p w:rsidR="00D22AE7" w:rsidRDefault="005A1FFD">
            <w:pPr>
              <w:jc w:val="center"/>
            </w:pPr>
            <w:r>
              <w:rPr>
                <w:b/>
                <w:bCs/>
                <w:color w:val="000000"/>
                <w:sz w:val="20"/>
                <w:szCs w:val="20"/>
              </w:rPr>
              <w:t>3</w:t>
            </w:r>
          </w:p>
        </w:tc>
        <w:tc>
          <w:tcPr>
            <w:tcW w:w="1000" w:type="dxa"/>
            <w:tcBorders>
              <w:top w:val="single" w:sz="6" w:space="0" w:color="B8C5D6"/>
              <w:left w:val="single" w:sz="6" w:space="0" w:color="B8C5D6"/>
              <w:bottom w:val="single" w:sz="6" w:space="0" w:color="B8C5D6"/>
              <w:right w:val="single" w:sz="6" w:space="0" w:color="B8C5D6"/>
            </w:tcBorders>
            <w:shd w:val="clear" w:color="auto" w:fill="F1F8E9"/>
            <w:tcMar>
              <w:top w:w="80" w:type="dxa"/>
              <w:left w:w="100" w:type="dxa"/>
              <w:bottom w:w="80" w:type="dxa"/>
              <w:right w:w="100" w:type="dxa"/>
            </w:tcMar>
            <w:vAlign w:val="center"/>
          </w:tcPr>
          <w:p w:rsidR="00D22AE7" w:rsidRDefault="005A1FFD">
            <w:r>
              <w:rPr>
                <w:b/>
                <w:bCs/>
                <w:color w:val="000000"/>
                <w:sz w:val="20"/>
                <w:szCs w:val="20"/>
              </w:rPr>
              <w:t>Good</w:t>
            </w:r>
          </w:p>
        </w:tc>
        <w:tc>
          <w:tcPr>
            <w:tcW w:w="7460" w:type="dxa"/>
            <w:tcBorders>
              <w:top w:val="single" w:sz="6" w:space="0" w:color="B8C5D6"/>
              <w:left w:val="single" w:sz="6" w:space="0" w:color="B8C5D6"/>
              <w:bottom w:val="single" w:sz="6" w:space="0" w:color="B8C5D6"/>
              <w:right w:val="single" w:sz="6" w:space="0" w:color="B8C5D6"/>
            </w:tcBorders>
            <w:shd w:val="clear" w:color="auto" w:fill="F1F8E9"/>
            <w:tcMar>
              <w:top w:w="80" w:type="dxa"/>
              <w:left w:w="100" w:type="dxa"/>
              <w:bottom w:w="80" w:type="dxa"/>
              <w:right w:w="100" w:type="dxa"/>
            </w:tcMar>
          </w:tcPr>
          <w:p w:rsidR="00D22AE7" w:rsidRDefault="005A1FFD">
            <w:r>
              <w:rPr>
                <w:sz w:val="20"/>
                <w:szCs w:val="20"/>
              </w:rPr>
              <w:t>D/E ratio 0.5–1.0; adequate positive operating cash flow</w:t>
            </w:r>
          </w:p>
          <w:p w:rsidR="00D22AE7" w:rsidRDefault="005A1FFD">
            <w:r>
              <w:rPr>
                <w:sz w:val="20"/>
                <w:szCs w:val="20"/>
              </w:rPr>
              <w:t>Insurance/bond capacity meets engagement requirements with modest margin</w:t>
            </w:r>
          </w:p>
          <w:p w:rsidR="00D22AE7" w:rsidRDefault="005A1FFD">
            <w:r>
              <w:rPr>
                <w:sz w:val="20"/>
                <w:szCs w:val="20"/>
              </w:rPr>
              <w:t>Audited or reviewed financials; minor findings resolved</w:t>
            </w:r>
          </w:p>
          <w:p w:rsidR="00D22AE7" w:rsidRDefault="005A1FFD">
            <w:r>
              <w:rPr>
                <w:sz w:val="20"/>
                <w:szCs w:val="20"/>
              </w:rPr>
              <w:t>Stable revenue; acceptable working capital</w:t>
            </w:r>
          </w:p>
        </w:tc>
      </w:tr>
      <w:tr w:rsidR="00D22AE7">
        <w:tblPrEx>
          <w:tblCellMar>
            <w:top w:w="0" w:type="dxa"/>
            <w:bottom w:w="0" w:type="dxa"/>
          </w:tblCellMar>
        </w:tblPrEx>
        <w:tc>
          <w:tcPr>
            <w:tcW w:w="900" w:type="dxa"/>
            <w:tcBorders>
              <w:top w:val="single" w:sz="6" w:space="0" w:color="B8C5D6"/>
              <w:left w:val="single" w:sz="6" w:space="0" w:color="B8C5D6"/>
              <w:bottom w:val="single" w:sz="6" w:space="0" w:color="B8C5D6"/>
              <w:right w:val="single" w:sz="6" w:space="0" w:color="B8C5D6"/>
            </w:tcBorders>
            <w:shd w:val="clear" w:color="auto" w:fill="FFFDE7"/>
            <w:tcMar>
              <w:top w:w="80" w:type="dxa"/>
              <w:left w:w="100" w:type="dxa"/>
              <w:bottom w:w="80" w:type="dxa"/>
              <w:right w:w="100" w:type="dxa"/>
            </w:tcMar>
            <w:vAlign w:val="center"/>
          </w:tcPr>
          <w:p w:rsidR="00D22AE7" w:rsidRDefault="005A1FFD">
            <w:pPr>
              <w:jc w:val="center"/>
            </w:pPr>
            <w:r>
              <w:rPr>
                <w:b/>
                <w:bCs/>
                <w:color w:val="000000"/>
                <w:sz w:val="20"/>
                <w:szCs w:val="20"/>
              </w:rPr>
              <w:t>2</w:t>
            </w:r>
          </w:p>
        </w:tc>
        <w:tc>
          <w:tcPr>
            <w:tcW w:w="1000" w:type="dxa"/>
            <w:tcBorders>
              <w:top w:val="single" w:sz="6" w:space="0" w:color="B8C5D6"/>
              <w:left w:val="single" w:sz="6" w:space="0" w:color="B8C5D6"/>
              <w:bottom w:val="single" w:sz="6" w:space="0" w:color="B8C5D6"/>
              <w:right w:val="single" w:sz="6" w:space="0" w:color="B8C5D6"/>
            </w:tcBorders>
            <w:shd w:val="clear" w:color="auto" w:fill="FFFDE7"/>
            <w:tcMar>
              <w:top w:w="80" w:type="dxa"/>
              <w:left w:w="100" w:type="dxa"/>
              <w:bottom w:w="80" w:type="dxa"/>
              <w:right w:w="100" w:type="dxa"/>
            </w:tcMar>
            <w:vAlign w:val="center"/>
          </w:tcPr>
          <w:p w:rsidR="00D22AE7" w:rsidRDefault="005A1FFD">
            <w:r>
              <w:rPr>
                <w:b/>
                <w:bCs/>
                <w:color w:val="000000"/>
                <w:sz w:val="20"/>
                <w:szCs w:val="20"/>
              </w:rPr>
              <w:t>Fair</w:t>
            </w:r>
          </w:p>
        </w:tc>
        <w:tc>
          <w:tcPr>
            <w:tcW w:w="7460" w:type="dxa"/>
            <w:tcBorders>
              <w:top w:val="single" w:sz="6" w:space="0" w:color="B8C5D6"/>
              <w:left w:val="single" w:sz="6" w:space="0" w:color="B8C5D6"/>
              <w:bottom w:val="single" w:sz="6" w:space="0" w:color="B8C5D6"/>
              <w:right w:val="single" w:sz="6" w:space="0" w:color="B8C5D6"/>
            </w:tcBorders>
            <w:shd w:val="clear" w:color="auto" w:fill="FFFDE7"/>
            <w:tcMar>
              <w:top w:w="80" w:type="dxa"/>
              <w:left w:w="100" w:type="dxa"/>
              <w:bottom w:w="80" w:type="dxa"/>
              <w:right w:w="100" w:type="dxa"/>
            </w:tcMar>
          </w:tcPr>
          <w:p w:rsidR="00D22AE7" w:rsidRDefault="005A1FFD">
            <w:r>
              <w:rPr>
                <w:sz w:val="20"/>
                <w:szCs w:val="20"/>
              </w:rPr>
              <w:t>D/E ratio 1.0–2.0; some cash flow concerns or variability</w:t>
            </w:r>
          </w:p>
          <w:p w:rsidR="00D22AE7" w:rsidRDefault="005A1FFD">
            <w:r>
              <w:rPr>
                <w:sz w:val="20"/>
                <w:szCs w:val="20"/>
              </w:rPr>
              <w:t>Insurance/bond coverage meets minimums but with limited headroom</w:t>
            </w:r>
          </w:p>
          <w:p w:rsidR="00D22AE7" w:rsidRDefault="005A1FFD">
            <w:r>
              <w:rPr>
                <w:sz w:val="20"/>
                <w:szCs w:val="20"/>
              </w:rPr>
              <w:t>Compiled or internally prepared financials; some unresolved findings</w:t>
            </w:r>
          </w:p>
          <w:p w:rsidR="00D22AE7" w:rsidRDefault="005A1FFD">
            <w:r>
              <w:rPr>
                <w:sz w:val="20"/>
                <w:szCs w:val="20"/>
              </w:rPr>
              <w:t>Flat or slightly declining revenue; tight working capital</w:t>
            </w:r>
          </w:p>
        </w:tc>
      </w:tr>
      <w:tr w:rsidR="00D22AE7">
        <w:tblPrEx>
          <w:tblCellMar>
            <w:top w:w="0" w:type="dxa"/>
            <w:bottom w:w="0" w:type="dxa"/>
          </w:tblCellMar>
        </w:tblPrEx>
        <w:tc>
          <w:tcPr>
            <w:tcW w:w="900" w:type="dxa"/>
            <w:tcBorders>
              <w:top w:val="single" w:sz="6" w:space="0" w:color="B8C5D6"/>
              <w:left w:val="single" w:sz="6" w:space="0" w:color="B8C5D6"/>
              <w:bottom w:val="single" w:sz="6" w:space="0" w:color="B8C5D6"/>
              <w:right w:val="single" w:sz="6" w:space="0" w:color="B8C5D6"/>
            </w:tcBorders>
            <w:shd w:val="clear" w:color="auto" w:fill="FBE9E7"/>
            <w:tcMar>
              <w:top w:w="80" w:type="dxa"/>
              <w:left w:w="100" w:type="dxa"/>
              <w:bottom w:w="80" w:type="dxa"/>
              <w:right w:w="100" w:type="dxa"/>
            </w:tcMar>
            <w:vAlign w:val="center"/>
          </w:tcPr>
          <w:p w:rsidR="00D22AE7" w:rsidRDefault="005A1FFD">
            <w:pPr>
              <w:jc w:val="center"/>
            </w:pPr>
            <w:r>
              <w:rPr>
                <w:b/>
                <w:bCs/>
                <w:color w:val="000000"/>
                <w:sz w:val="20"/>
                <w:szCs w:val="20"/>
              </w:rPr>
              <w:t>1</w:t>
            </w:r>
          </w:p>
        </w:tc>
        <w:tc>
          <w:tcPr>
            <w:tcW w:w="1000" w:type="dxa"/>
            <w:tcBorders>
              <w:top w:val="single" w:sz="6" w:space="0" w:color="B8C5D6"/>
              <w:left w:val="single" w:sz="6" w:space="0" w:color="B8C5D6"/>
              <w:bottom w:val="single" w:sz="6" w:space="0" w:color="B8C5D6"/>
              <w:right w:val="single" w:sz="6" w:space="0" w:color="B8C5D6"/>
            </w:tcBorders>
            <w:shd w:val="clear" w:color="auto" w:fill="FBE9E7"/>
            <w:tcMar>
              <w:top w:w="80" w:type="dxa"/>
              <w:left w:w="100" w:type="dxa"/>
              <w:bottom w:w="80" w:type="dxa"/>
              <w:right w:w="100" w:type="dxa"/>
            </w:tcMar>
            <w:vAlign w:val="center"/>
          </w:tcPr>
          <w:p w:rsidR="00D22AE7" w:rsidRDefault="005A1FFD">
            <w:r>
              <w:rPr>
                <w:b/>
                <w:bCs/>
                <w:color w:val="000000"/>
                <w:sz w:val="20"/>
                <w:szCs w:val="20"/>
              </w:rPr>
              <w:t>Poor</w:t>
            </w:r>
          </w:p>
        </w:tc>
        <w:tc>
          <w:tcPr>
            <w:tcW w:w="7460" w:type="dxa"/>
            <w:tcBorders>
              <w:top w:val="single" w:sz="6" w:space="0" w:color="B8C5D6"/>
              <w:left w:val="single" w:sz="6" w:space="0" w:color="B8C5D6"/>
              <w:bottom w:val="single" w:sz="6" w:space="0" w:color="B8C5D6"/>
              <w:right w:val="single" w:sz="6" w:space="0" w:color="B8C5D6"/>
            </w:tcBorders>
            <w:shd w:val="clear" w:color="auto" w:fill="FBE9E7"/>
            <w:tcMar>
              <w:top w:w="80" w:type="dxa"/>
              <w:left w:w="100" w:type="dxa"/>
              <w:bottom w:w="80" w:type="dxa"/>
              <w:right w:w="100" w:type="dxa"/>
            </w:tcMar>
          </w:tcPr>
          <w:p w:rsidR="00D22AE7" w:rsidRDefault="005A1FFD">
            <w:r>
              <w:rPr>
                <w:sz w:val="20"/>
                <w:szCs w:val="20"/>
              </w:rPr>
              <w:t>D/E ratio &gt; 2.0; negative or severely strained cash flow</w:t>
            </w:r>
          </w:p>
          <w:p w:rsidR="00D22AE7" w:rsidRDefault="005A1FFD">
            <w:r>
              <w:rPr>
                <w:sz w:val="20"/>
                <w:szCs w:val="20"/>
              </w:rPr>
              <w:t>Insurance/bond gaps or inability to meet minimum coverage requirements</w:t>
            </w:r>
          </w:p>
          <w:p w:rsidR="00D22AE7" w:rsidRDefault="005A1FFD">
            <w:r>
              <w:rPr>
                <w:sz w:val="20"/>
                <w:szCs w:val="20"/>
              </w:rPr>
              <w:t>No formal audited financials; significant unresolved findings or restatements</w:t>
            </w:r>
          </w:p>
          <w:p w:rsidR="00D22AE7" w:rsidRDefault="005A1FFD">
            <w:r>
              <w:rPr>
                <w:sz w:val="20"/>
                <w:szCs w:val="20"/>
              </w:rPr>
              <w:lastRenderedPageBreak/>
              <w:t>Declining revenue, losses, or signs of financ</w:t>
            </w:r>
            <w:r>
              <w:rPr>
                <w:sz w:val="20"/>
                <w:szCs w:val="20"/>
              </w:rPr>
              <w:t>ial distress</w:t>
            </w:r>
          </w:p>
        </w:tc>
      </w:tr>
    </w:tbl>
    <w:p w:rsidR="00D22AE7" w:rsidRDefault="00D22AE7">
      <w:pPr>
        <w:spacing w:before="120" w:after="0"/>
      </w:pPr>
    </w:p>
    <w:p w:rsidR="00D22AE7" w:rsidRDefault="005A1FFD">
      <w:pPr>
        <w:spacing w:before="220" w:after="100"/>
      </w:pPr>
      <w:r>
        <w:rPr>
          <w:b/>
          <w:bCs/>
          <w:color w:val="1B3A6B"/>
          <w:sz w:val="24"/>
          <w:szCs w:val="24"/>
        </w:rPr>
        <w:t>C2. Safety Performance   (20% weight)</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
        <w:gridCol w:w="1079"/>
        <w:gridCol w:w="7460"/>
      </w:tblGrid>
      <w:tr w:rsidR="00D22AE7">
        <w:tblPrEx>
          <w:tblCellMar>
            <w:top w:w="0" w:type="dxa"/>
            <w:bottom w:w="0" w:type="dxa"/>
          </w:tblCellMar>
        </w:tblPrEx>
        <w:trPr>
          <w:tblHeader/>
        </w:trPr>
        <w:tc>
          <w:tcPr>
            <w:tcW w:w="900" w:type="dxa"/>
            <w:tcBorders>
              <w:top w:val="single" w:sz="6" w:space="0" w:color="B8C5D6"/>
              <w:left w:val="single" w:sz="6" w:space="0" w:color="B8C5D6"/>
              <w:bottom w:val="single" w:sz="6" w:space="0" w:color="B8C5D6"/>
              <w:right w:val="single" w:sz="6" w:space="0" w:color="B8C5D6"/>
            </w:tcBorders>
            <w:shd w:val="clear" w:color="auto" w:fill="2E5C9E"/>
            <w:tcMar>
              <w:top w:w="100" w:type="dxa"/>
              <w:left w:w="100" w:type="dxa"/>
              <w:bottom w:w="100" w:type="dxa"/>
              <w:right w:w="100" w:type="dxa"/>
            </w:tcMar>
            <w:vAlign w:val="center"/>
          </w:tcPr>
          <w:p w:rsidR="00D22AE7" w:rsidRDefault="005A1FFD">
            <w:pPr>
              <w:jc w:val="center"/>
            </w:pPr>
            <w:r>
              <w:rPr>
                <w:b/>
                <w:bCs/>
                <w:color w:val="FFFFFF"/>
                <w:sz w:val="20"/>
                <w:szCs w:val="20"/>
              </w:rPr>
              <w:t>Score</w:t>
            </w:r>
          </w:p>
        </w:tc>
        <w:tc>
          <w:tcPr>
            <w:tcW w:w="1000" w:type="dxa"/>
            <w:tcBorders>
              <w:top w:val="single" w:sz="6" w:space="0" w:color="B8C5D6"/>
              <w:left w:val="single" w:sz="6" w:space="0" w:color="B8C5D6"/>
              <w:bottom w:val="single" w:sz="6" w:space="0" w:color="B8C5D6"/>
              <w:right w:val="single" w:sz="6" w:space="0" w:color="B8C5D6"/>
            </w:tcBorders>
            <w:shd w:val="clear" w:color="auto" w:fill="2E5C9E"/>
            <w:tcMar>
              <w:top w:w="100" w:type="dxa"/>
              <w:left w:w="100" w:type="dxa"/>
              <w:bottom w:w="100" w:type="dxa"/>
              <w:right w:w="100" w:type="dxa"/>
            </w:tcMar>
            <w:vAlign w:val="center"/>
          </w:tcPr>
          <w:p w:rsidR="00D22AE7" w:rsidRDefault="005A1FFD">
            <w:pPr>
              <w:jc w:val="center"/>
            </w:pPr>
            <w:r>
              <w:rPr>
                <w:b/>
                <w:bCs/>
                <w:color w:val="FFFFFF"/>
                <w:sz w:val="20"/>
                <w:szCs w:val="20"/>
              </w:rPr>
              <w:t>Level</w:t>
            </w:r>
          </w:p>
        </w:tc>
        <w:tc>
          <w:tcPr>
            <w:tcW w:w="7460" w:type="dxa"/>
            <w:tcBorders>
              <w:top w:val="single" w:sz="6" w:space="0" w:color="B8C5D6"/>
              <w:left w:val="single" w:sz="6" w:space="0" w:color="B8C5D6"/>
              <w:bottom w:val="single" w:sz="6" w:space="0" w:color="B8C5D6"/>
              <w:right w:val="single" w:sz="6" w:space="0" w:color="B8C5D6"/>
            </w:tcBorders>
            <w:shd w:val="clear" w:color="auto" w:fill="2E5C9E"/>
            <w:tcMar>
              <w:top w:w="100" w:type="dxa"/>
              <w:left w:w="100" w:type="dxa"/>
              <w:bottom w:w="100" w:type="dxa"/>
              <w:right w:w="100" w:type="dxa"/>
            </w:tcMar>
            <w:vAlign w:val="center"/>
          </w:tcPr>
          <w:p w:rsidR="00D22AE7" w:rsidRDefault="005A1FFD">
            <w:pPr>
              <w:jc w:val="center"/>
            </w:pPr>
            <w:r>
              <w:rPr>
                <w:b/>
                <w:bCs/>
                <w:color w:val="FFFFFF"/>
                <w:sz w:val="20"/>
                <w:szCs w:val="20"/>
              </w:rPr>
              <w:t>Criteria</w:t>
            </w:r>
          </w:p>
        </w:tc>
      </w:tr>
      <w:tr w:rsidR="00D22AE7">
        <w:tblPrEx>
          <w:tblCellMar>
            <w:top w:w="0" w:type="dxa"/>
            <w:bottom w:w="0" w:type="dxa"/>
          </w:tblCellMar>
        </w:tblPrEx>
        <w:tc>
          <w:tcPr>
            <w:tcW w:w="900" w:type="dxa"/>
            <w:tcBorders>
              <w:top w:val="single" w:sz="6" w:space="0" w:color="B8C5D6"/>
              <w:left w:val="single" w:sz="6" w:space="0" w:color="B8C5D6"/>
              <w:bottom w:val="single" w:sz="6" w:space="0" w:color="B8C5D6"/>
              <w:right w:val="single" w:sz="6" w:space="0" w:color="B8C5D6"/>
            </w:tcBorders>
            <w:shd w:val="clear" w:color="auto" w:fill="E8F5E9"/>
            <w:tcMar>
              <w:top w:w="80" w:type="dxa"/>
              <w:left w:w="100" w:type="dxa"/>
              <w:bottom w:w="80" w:type="dxa"/>
              <w:right w:w="100" w:type="dxa"/>
            </w:tcMar>
            <w:vAlign w:val="center"/>
          </w:tcPr>
          <w:p w:rsidR="00D22AE7" w:rsidRDefault="005A1FFD">
            <w:pPr>
              <w:jc w:val="center"/>
            </w:pPr>
            <w:r>
              <w:rPr>
                <w:b/>
                <w:bCs/>
                <w:color w:val="000000"/>
                <w:sz w:val="20"/>
                <w:szCs w:val="20"/>
              </w:rPr>
              <w:t>4</w:t>
            </w:r>
          </w:p>
        </w:tc>
        <w:tc>
          <w:tcPr>
            <w:tcW w:w="1000" w:type="dxa"/>
            <w:tcBorders>
              <w:top w:val="single" w:sz="6" w:space="0" w:color="B8C5D6"/>
              <w:left w:val="single" w:sz="6" w:space="0" w:color="B8C5D6"/>
              <w:bottom w:val="single" w:sz="6" w:space="0" w:color="B8C5D6"/>
              <w:right w:val="single" w:sz="6" w:space="0" w:color="B8C5D6"/>
            </w:tcBorders>
            <w:shd w:val="clear" w:color="auto" w:fill="E8F5E9"/>
            <w:tcMar>
              <w:top w:w="80" w:type="dxa"/>
              <w:left w:w="100" w:type="dxa"/>
              <w:bottom w:w="80" w:type="dxa"/>
              <w:right w:w="100" w:type="dxa"/>
            </w:tcMar>
            <w:vAlign w:val="center"/>
          </w:tcPr>
          <w:p w:rsidR="00D22AE7" w:rsidRDefault="005A1FFD">
            <w:r>
              <w:rPr>
                <w:b/>
                <w:bCs/>
                <w:color w:val="000000"/>
                <w:sz w:val="20"/>
                <w:szCs w:val="20"/>
              </w:rPr>
              <w:t>Excellent</w:t>
            </w:r>
          </w:p>
        </w:tc>
        <w:tc>
          <w:tcPr>
            <w:tcW w:w="7460" w:type="dxa"/>
            <w:tcBorders>
              <w:top w:val="single" w:sz="6" w:space="0" w:color="B8C5D6"/>
              <w:left w:val="single" w:sz="6" w:space="0" w:color="B8C5D6"/>
              <w:bottom w:val="single" w:sz="6" w:space="0" w:color="B8C5D6"/>
              <w:right w:val="single" w:sz="6" w:space="0" w:color="B8C5D6"/>
            </w:tcBorders>
            <w:shd w:val="clear" w:color="auto" w:fill="E8F5E9"/>
            <w:tcMar>
              <w:top w:w="80" w:type="dxa"/>
              <w:left w:w="100" w:type="dxa"/>
              <w:bottom w:w="80" w:type="dxa"/>
              <w:right w:w="100" w:type="dxa"/>
            </w:tcMar>
          </w:tcPr>
          <w:p w:rsidR="00D22AE7" w:rsidRDefault="005A1FFD">
            <w:r>
              <w:rPr>
                <w:sz w:val="20"/>
                <w:szCs w:val="20"/>
              </w:rPr>
              <w:t>Field-based vendors: TRIR &lt; 1.0, EMR &lt; 0.85, zero serious violations in 3 years</w:t>
            </w:r>
          </w:p>
          <w:p w:rsidR="00D22AE7" w:rsidRDefault="005A1FFD">
            <w:r>
              <w:rPr>
                <w:sz w:val="20"/>
                <w:szCs w:val="20"/>
              </w:rPr>
              <w:t>Office/professional vendors: zero recordable incidents, proactive ergonomic and wellness programs</w:t>
            </w:r>
          </w:p>
          <w:p w:rsidR="00D22AE7" w:rsidRDefault="005A1FFD">
            <w:r>
              <w:rPr>
                <w:sz w:val="20"/>
                <w:szCs w:val="20"/>
              </w:rPr>
              <w:t>Comprehensive documented safety management program with third-party validation</w:t>
            </w:r>
          </w:p>
          <w:p w:rsidR="00D22AE7" w:rsidRDefault="005A1FFD">
            <w:r>
              <w:rPr>
                <w:sz w:val="20"/>
                <w:szCs w:val="20"/>
              </w:rPr>
              <w:t>Proactive safety culture; dedicated EHS staff or equivalent resources</w:t>
            </w:r>
          </w:p>
        </w:tc>
      </w:tr>
      <w:tr w:rsidR="00D22AE7">
        <w:tblPrEx>
          <w:tblCellMar>
            <w:top w:w="0" w:type="dxa"/>
            <w:bottom w:w="0" w:type="dxa"/>
          </w:tblCellMar>
        </w:tblPrEx>
        <w:tc>
          <w:tcPr>
            <w:tcW w:w="900" w:type="dxa"/>
            <w:tcBorders>
              <w:top w:val="single" w:sz="6" w:space="0" w:color="B8C5D6"/>
              <w:left w:val="single" w:sz="6" w:space="0" w:color="B8C5D6"/>
              <w:bottom w:val="single" w:sz="6" w:space="0" w:color="B8C5D6"/>
              <w:right w:val="single" w:sz="6" w:space="0" w:color="B8C5D6"/>
            </w:tcBorders>
            <w:shd w:val="clear" w:color="auto" w:fill="F1F8E9"/>
            <w:tcMar>
              <w:top w:w="80" w:type="dxa"/>
              <w:left w:w="100" w:type="dxa"/>
              <w:bottom w:w="80" w:type="dxa"/>
              <w:right w:w="100" w:type="dxa"/>
            </w:tcMar>
            <w:vAlign w:val="center"/>
          </w:tcPr>
          <w:p w:rsidR="00D22AE7" w:rsidRDefault="005A1FFD">
            <w:pPr>
              <w:jc w:val="center"/>
            </w:pPr>
            <w:r>
              <w:rPr>
                <w:b/>
                <w:bCs/>
                <w:color w:val="000000"/>
                <w:sz w:val="20"/>
                <w:szCs w:val="20"/>
              </w:rPr>
              <w:t>3</w:t>
            </w:r>
          </w:p>
        </w:tc>
        <w:tc>
          <w:tcPr>
            <w:tcW w:w="1000" w:type="dxa"/>
            <w:tcBorders>
              <w:top w:val="single" w:sz="6" w:space="0" w:color="B8C5D6"/>
              <w:left w:val="single" w:sz="6" w:space="0" w:color="B8C5D6"/>
              <w:bottom w:val="single" w:sz="6" w:space="0" w:color="B8C5D6"/>
              <w:right w:val="single" w:sz="6" w:space="0" w:color="B8C5D6"/>
            </w:tcBorders>
            <w:shd w:val="clear" w:color="auto" w:fill="F1F8E9"/>
            <w:tcMar>
              <w:top w:w="80" w:type="dxa"/>
              <w:left w:w="100" w:type="dxa"/>
              <w:bottom w:w="80" w:type="dxa"/>
              <w:right w:w="100" w:type="dxa"/>
            </w:tcMar>
            <w:vAlign w:val="center"/>
          </w:tcPr>
          <w:p w:rsidR="00D22AE7" w:rsidRDefault="005A1FFD">
            <w:r>
              <w:rPr>
                <w:b/>
                <w:bCs/>
                <w:color w:val="000000"/>
                <w:sz w:val="20"/>
                <w:szCs w:val="20"/>
              </w:rPr>
              <w:t>Good</w:t>
            </w:r>
          </w:p>
        </w:tc>
        <w:tc>
          <w:tcPr>
            <w:tcW w:w="7460" w:type="dxa"/>
            <w:tcBorders>
              <w:top w:val="single" w:sz="6" w:space="0" w:color="B8C5D6"/>
              <w:left w:val="single" w:sz="6" w:space="0" w:color="B8C5D6"/>
              <w:bottom w:val="single" w:sz="6" w:space="0" w:color="B8C5D6"/>
              <w:right w:val="single" w:sz="6" w:space="0" w:color="B8C5D6"/>
            </w:tcBorders>
            <w:shd w:val="clear" w:color="auto" w:fill="F1F8E9"/>
            <w:tcMar>
              <w:top w:w="80" w:type="dxa"/>
              <w:left w:w="100" w:type="dxa"/>
              <w:bottom w:w="80" w:type="dxa"/>
              <w:right w:w="100" w:type="dxa"/>
            </w:tcMar>
          </w:tcPr>
          <w:p w:rsidR="00D22AE7" w:rsidRDefault="005A1FFD">
            <w:r>
              <w:rPr>
                <w:sz w:val="20"/>
                <w:szCs w:val="20"/>
              </w:rPr>
              <w:t>Field-based vendors: TRIR 1.0–2.0, EMR 0.85–1.0, minor violations only</w:t>
            </w:r>
          </w:p>
          <w:p w:rsidR="00D22AE7" w:rsidRDefault="005A1FFD">
            <w:r>
              <w:rPr>
                <w:sz w:val="20"/>
                <w:szCs w:val="20"/>
              </w:rPr>
              <w:t>Office/professional vendors: rare incidents, documented safety policies</w:t>
            </w:r>
          </w:p>
          <w:p w:rsidR="00D22AE7" w:rsidRDefault="005A1FFD">
            <w:r>
              <w:rPr>
                <w:sz w:val="20"/>
                <w:szCs w:val="20"/>
              </w:rPr>
              <w:t>Documented safety program; responsive corrective action process</w:t>
            </w:r>
          </w:p>
          <w:p w:rsidR="00D22AE7" w:rsidRDefault="005A1FFD">
            <w:r>
              <w:rPr>
                <w:sz w:val="20"/>
                <w:szCs w:val="20"/>
              </w:rPr>
              <w:t xml:space="preserve">Regular safety training and incident review </w:t>
            </w:r>
            <w:r>
              <w:rPr>
                <w:sz w:val="20"/>
                <w:szCs w:val="20"/>
              </w:rPr>
              <w:t>processes in place</w:t>
            </w:r>
          </w:p>
        </w:tc>
      </w:tr>
      <w:tr w:rsidR="00D22AE7">
        <w:tblPrEx>
          <w:tblCellMar>
            <w:top w:w="0" w:type="dxa"/>
            <w:bottom w:w="0" w:type="dxa"/>
          </w:tblCellMar>
        </w:tblPrEx>
        <w:tc>
          <w:tcPr>
            <w:tcW w:w="900" w:type="dxa"/>
            <w:tcBorders>
              <w:top w:val="single" w:sz="6" w:space="0" w:color="B8C5D6"/>
              <w:left w:val="single" w:sz="6" w:space="0" w:color="B8C5D6"/>
              <w:bottom w:val="single" w:sz="6" w:space="0" w:color="B8C5D6"/>
              <w:right w:val="single" w:sz="6" w:space="0" w:color="B8C5D6"/>
            </w:tcBorders>
            <w:shd w:val="clear" w:color="auto" w:fill="FFFDE7"/>
            <w:tcMar>
              <w:top w:w="80" w:type="dxa"/>
              <w:left w:w="100" w:type="dxa"/>
              <w:bottom w:w="80" w:type="dxa"/>
              <w:right w:w="100" w:type="dxa"/>
            </w:tcMar>
            <w:vAlign w:val="center"/>
          </w:tcPr>
          <w:p w:rsidR="00D22AE7" w:rsidRDefault="005A1FFD">
            <w:pPr>
              <w:jc w:val="center"/>
            </w:pPr>
            <w:r>
              <w:rPr>
                <w:b/>
                <w:bCs/>
                <w:color w:val="000000"/>
                <w:sz w:val="20"/>
                <w:szCs w:val="20"/>
              </w:rPr>
              <w:t>2</w:t>
            </w:r>
          </w:p>
        </w:tc>
        <w:tc>
          <w:tcPr>
            <w:tcW w:w="1000" w:type="dxa"/>
            <w:tcBorders>
              <w:top w:val="single" w:sz="6" w:space="0" w:color="B8C5D6"/>
              <w:left w:val="single" w:sz="6" w:space="0" w:color="B8C5D6"/>
              <w:bottom w:val="single" w:sz="6" w:space="0" w:color="B8C5D6"/>
              <w:right w:val="single" w:sz="6" w:space="0" w:color="B8C5D6"/>
            </w:tcBorders>
            <w:shd w:val="clear" w:color="auto" w:fill="FFFDE7"/>
            <w:tcMar>
              <w:top w:w="80" w:type="dxa"/>
              <w:left w:w="100" w:type="dxa"/>
              <w:bottom w:w="80" w:type="dxa"/>
              <w:right w:w="100" w:type="dxa"/>
            </w:tcMar>
            <w:vAlign w:val="center"/>
          </w:tcPr>
          <w:p w:rsidR="00D22AE7" w:rsidRDefault="005A1FFD">
            <w:r>
              <w:rPr>
                <w:b/>
                <w:bCs/>
                <w:color w:val="000000"/>
                <w:sz w:val="20"/>
                <w:szCs w:val="20"/>
              </w:rPr>
              <w:t>Fair</w:t>
            </w:r>
          </w:p>
        </w:tc>
        <w:tc>
          <w:tcPr>
            <w:tcW w:w="7460" w:type="dxa"/>
            <w:tcBorders>
              <w:top w:val="single" w:sz="6" w:space="0" w:color="B8C5D6"/>
              <w:left w:val="single" w:sz="6" w:space="0" w:color="B8C5D6"/>
              <w:bottom w:val="single" w:sz="6" w:space="0" w:color="B8C5D6"/>
              <w:right w:val="single" w:sz="6" w:space="0" w:color="B8C5D6"/>
            </w:tcBorders>
            <w:shd w:val="clear" w:color="auto" w:fill="FFFDE7"/>
            <w:tcMar>
              <w:top w:w="80" w:type="dxa"/>
              <w:left w:w="100" w:type="dxa"/>
              <w:bottom w:w="80" w:type="dxa"/>
              <w:right w:w="100" w:type="dxa"/>
            </w:tcMar>
          </w:tcPr>
          <w:p w:rsidR="00D22AE7" w:rsidRDefault="005A1FFD">
            <w:r>
              <w:rPr>
                <w:sz w:val="20"/>
                <w:szCs w:val="20"/>
              </w:rPr>
              <w:t>Field-based vendors: TRIR 2.0–3.0, EMR 1.0–1.2, some serious violations with remediation</w:t>
            </w:r>
          </w:p>
          <w:p w:rsidR="00D22AE7" w:rsidRDefault="005A1FFD">
            <w:r>
              <w:rPr>
                <w:sz w:val="20"/>
                <w:szCs w:val="20"/>
              </w:rPr>
              <w:t>Office/professional vendors: occasional incidents, basic safety compliance only</w:t>
            </w:r>
          </w:p>
          <w:p w:rsidR="00D22AE7" w:rsidRDefault="005A1FFD">
            <w:r>
              <w:rPr>
                <w:sz w:val="20"/>
                <w:szCs w:val="20"/>
              </w:rPr>
              <w:t>Basic written safety policy; inconsistent implementation</w:t>
            </w:r>
          </w:p>
          <w:p w:rsidR="00D22AE7" w:rsidRDefault="005A1FFD">
            <w:r>
              <w:rPr>
                <w:sz w:val="20"/>
                <w:szCs w:val="20"/>
              </w:rPr>
              <w:t>Limited safety training; reactive rather than proactive culture</w:t>
            </w:r>
          </w:p>
        </w:tc>
      </w:tr>
      <w:tr w:rsidR="00D22AE7">
        <w:tblPrEx>
          <w:tblCellMar>
            <w:top w:w="0" w:type="dxa"/>
            <w:bottom w:w="0" w:type="dxa"/>
          </w:tblCellMar>
        </w:tblPrEx>
        <w:tc>
          <w:tcPr>
            <w:tcW w:w="900" w:type="dxa"/>
            <w:tcBorders>
              <w:top w:val="single" w:sz="6" w:space="0" w:color="B8C5D6"/>
              <w:left w:val="single" w:sz="6" w:space="0" w:color="B8C5D6"/>
              <w:bottom w:val="single" w:sz="6" w:space="0" w:color="B8C5D6"/>
              <w:right w:val="single" w:sz="6" w:space="0" w:color="B8C5D6"/>
            </w:tcBorders>
            <w:shd w:val="clear" w:color="auto" w:fill="FBE9E7"/>
            <w:tcMar>
              <w:top w:w="80" w:type="dxa"/>
              <w:left w:w="100" w:type="dxa"/>
              <w:bottom w:w="80" w:type="dxa"/>
              <w:right w:w="100" w:type="dxa"/>
            </w:tcMar>
            <w:vAlign w:val="center"/>
          </w:tcPr>
          <w:p w:rsidR="00D22AE7" w:rsidRDefault="005A1FFD">
            <w:pPr>
              <w:jc w:val="center"/>
            </w:pPr>
            <w:r>
              <w:rPr>
                <w:b/>
                <w:bCs/>
                <w:color w:val="000000"/>
                <w:sz w:val="20"/>
                <w:szCs w:val="20"/>
              </w:rPr>
              <w:t>1</w:t>
            </w:r>
          </w:p>
        </w:tc>
        <w:tc>
          <w:tcPr>
            <w:tcW w:w="1000" w:type="dxa"/>
            <w:tcBorders>
              <w:top w:val="single" w:sz="6" w:space="0" w:color="B8C5D6"/>
              <w:left w:val="single" w:sz="6" w:space="0" w:color="B8C5D6"/>
              <w:bottom w:val="single" w:sz="6" w:space="0" w:color="B8C5D6"/>
              <w:right w:val="single" w:sz="6" w:space="0" w:color="B8C5D6"/>
            </w:tcBorders>
            <w:shd w:val="clear" w:color="auto" w:fill="FBE9E7"/>
            <w:tcMar>
              <w:top w:w="80" w:type="dxa"/>
              <w:left w:w="100" w:type="dxa"/>
              <w:bottom w:w="80" w:type="dxa"/>
              <w:right w:w="100" w:type="dxa"/>
            </w:tcMar>
            <w:vAlign w:val="center"/>
          </w:tcPr>
          <w:p w:rsidR="00D22AE7" w:rsidRDefault="005A1FFD">
            <w:r>
              <w:rPr>
                <w:b/>
                <w:bCs/>
                <w:color w:val="000000"/>
                <w:sz w:val="20"/>
                <w:szCs w:val="20"/>
              </w:rPr>
              <w:t>Poor</w:t>
            </w:r>
          </w:p>
        </w:tc>
        <w:tc>
          <w:tcPr>
            <w:tcW w:w="7460" w:type="dxa"/>
            <w:tcBorders>
              <w:top w:val="single" w:sz="6" w:space="0" w:color="B8C5D6"/>
              <w:left w:val="single" w:sz="6" w:space="0" w:color="B8C5D6"/>
              <w:bottom w:val="single" w:sz="6" w:space="0" w:color="B8C5D6"/>
              <w:right w:val="single" w:sz="6" w:space="0" w:color="B8C5D6"/>
            </w:tcBorders>
            <w:shd w:val="clear" w:color="auto" w:fill="FBE9E7"/>
            <w:tcMar>
              <w:top w:w="80" w:type="dxa"/>
              <w:left w:w="100" w:type="dxa"/>
              <w:bottom w:w="80" w:type="dxa"/>
              <w:right w:w="100" w:type="dxa"/>
            </w:tcMar>
          </w:tcPr>
          <w:p w:rsidR="00D22AE7" w:rsidRDefault="005A1FFD">
            <w:r>
              <w:rPr>
                <w:sz w:val="20"/>
                <w:szCs w:val="20"/>
              </w:rPr>
              <w:t>Field-based vendors: TRIR &gt; 3.0, EMR &gt; 1.2, willful or repeat violations</w:t>
            </w:r>
          </w:p>
          <w:p w:rsidR="00D22AE7" w:rsidRDefault="005A1FFD">
            <w:r>
              <w:rPr>
                <w:sz w:val="20"/>
                <w:szCs w:val="20"/>
              </w:rPr>
              <w:t>Office/professional vendors: pattern of workplace incidents, regulatory actions pending</w:t>
            </w:r>
          </w:p>
          <w:p w:rsidR="00D22AE7" w:rsidRDefault="005A1FFD">
            <w:r>
              <w:rPr>
                <w:sz w:val="20"/>
                <w:szCs w:val="20"/>
              </w:rPr>
              <w:t>Inadequate or absent safety program; no documented protocols</w:t>
            </w:r>
          </w:p>
          <w:p w:rsidR="00D22AE7" w:rsidRDefault="005A1FFD">
            <w:r>
              <w:rPr>
                <w:sz w:val="20"/>
                <w:szCs w:val="20"/>
              </w:rPr>
              <w:t>No safety training or accountabili</w:t>
            </w:r>
            <w:r>
              <w:rPr>
                <w:sz w:val="20"/>
                <w:szCs w:val="20"/>
              </w:rPr>
              <w:t>ty structures</w:t>
            </w:r>
          </w:p>
        </w:tc>
      </w:tr>
    </w:tbl>
    <w:p w:rsidR="00D22AE7" w:rsidRDefault="00D22AE7">
      <w:pPr>
        <w:spacing w:before="120" w:after="0"/>
      </w:pPr>
    </w:p>
    <w:p w:rsidR="00D22AE7" w:rsidRDefault="005A1FFD">
      <w:pPr>
        <w:spacing w:before="220" w:after="100"/>
      </w:pPr>
      <w:r>
        <w:rPr>
          <w:b/>
          <w:bCs/>
          <w:color w:val="1B3A6B"/>
          <w:sz w:val="24"/>
          <w:szCs w:val="24"/>
        </w:rPr>
        <w:t>C3. Quality / Performance History   (20% weight)</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
        <w:gridCol w:w="1079"/>
        <w:gridCol w:w="7460"/>
      </w:tblGrid>
      <w:tr w:rsidR="00D22AE7">
        <w:tblPrEx>
          <w:tblCellMar>
            <w:top w:w="0" w:type="dxa"/>
            <w:bottom w:w="0" w:type="dxa"/>
          </w:tblCellMar>
        </w:tblPrEx>
        <w:trPr>
          <w:tblHeader/>
        </w:trPr>
        <w:tc>
          <w:tcPr>
            <w:tcW w:w="900" w:type="dxa"/>
            <w:tcBorders>
              <w:top w:val="single" w:sz="6" w:space="0" w:color="B8C5D6"/>
              <w:left w:val="single" w:sz="6" w:space="0" w:color="B8C5D6"/>
              <w:bottom w:val="single" w:sz="6" w:space="0" w:color="B8C5D6"/>
              <w:right w:val="single" w:sz="6" w:space="0" w:color="B8C5D6"/>
            </w:tcBorders>
            <w:shd w:val="clear" w:color="auto" w:fill="2E5C9E"/>
            <w:tcMar>
              <w:top w:w="100" w:type="dxa"/>
              <w:left w:w="100" w:type="dxa"/>
              <w:bottom w:w="100" w:type="dxa"/>
              <w:right w:w="100" w:type="dxa"/>
            </w:tcMar>
            <w:vAlign w:val="center"/>
          </w:tcPr>
          <w:p w:rsidR="00D22AE7" w:rsidRDefault="005A1FFD">
            <w:pPr>
              <w:jc w:val="center"/>
            </w:pPr>
            <w:r>
              <w:rPr>
                <w:b/>
                <w:bCs/>
                <w:color w:val="FFFFFF"/>
                <w:sz w:val="20"/>
                <w:szCs w:val="20"/>
              </w:rPr>
              <w:t>Score</w:t>
            </w:r>
          </w:p>
        </w:tc>
        <w:tc>
          <w:tcPr>
            <w:tcW w:w="1000" w:type="dxa"/>
            <w:tcBorders>
              <w:top w:val="single" w:sz="6" w:space="0" w:color="B8C5D6"/>
              <w:left w:val="single" w:sz="6" w:space="0" w:color="B8C5D6"/>
              <w:bottom w:val="single" w:sz="6" w:space="0" w:color="B8C5D6"/>
              <w:right w:val="single" w:sz="6" w:space="0" w:color="B8C5D6"/>
            </w:tcBorders>
            <w:shd w:val="clear" w:color="auto" w:fill="2E5C9E"/>
            <w:tcMar>
              <w:top w:w="100" w:type="dxa"/>
              <w:left w:w="100" w:type="dxa"/>
              <w:bottom w:w="100" w:type="dxa"/>
              <w:right w:w="100" w:type="dxa"/>
            </w:tcMar>
            <w:vAlign w:val="center"/>
          </w:tcPr>
          <w:p w:rsidR="00D22AE7" w:rsidRDefault="005A1FFD">
            <w:pPr>
              <w:jc w:val="center"/>
            </w:pPr>
            <w:r>
              <w:rPr>
                <w:b/>
                <w:bCs/>
                <w:color w:val="FFFFFF"/>
                <w:sz w:val="20"/>
                <w:szCs w:val="20"/>
              </w:rPr>
              <w:t>Level</w:t>
            </w:r>
          </w:p>
        </w:tc>
        <w:tc>
          <w:tcPr>
            <w:tcW w:w="7460" w:type="dxa"/>
            <w:tcBorders>
              <w:top w:val="single" w:sz="6" w:space="0" w:color="B8C5D6"/>
              <w:left w:val="single" w:sz="6" w:space="0" w:color="B8C5D6"/>
              <w:bottom w:val="single" w:sz="6" w:space="0" w:color="B8C5D6"/>
              <w:right w:val="single" w:sz="6" w:space="0" w:color="B8C5D6"/>
            </w:tcBorders>
            <w:shd w:val="clear" w:color="auto" w:fill="2E5C9E"/>
            <w:tcMar>
              <w:top w:w="100" w:type="dxa"/>
              <w:left w:w="100" w:type="dxa"/>
              <w:bottom w:w="100" w:type="dxa"/>
              <w:right w:w="100" w:type="dxa"/>
            </w:tcMar>
            <w:vAlign w:val="center"/>
          </w:tcPr>
          <w:p w:rsidR="00D22AE7" w:rsidRDefault="005A1FFD">
            <w:pPr>
              <w:jc w:val="center"/>
            </w:pPr>
            <w:r>
              <w:rPr>
                <w:b/>
                <w:bCs/>
                <w:color w:val="FFFFFF"/>
                <w:sz w:val="20"/>
                <w:szCs w:val="20"/>
              </w:rPr>
              <w:t>Criteria</w:t>
            </w:r>
          </w:p>
        </w:tc>
      </w:tr>
      <w:tr w:rsidR="00D22AE7">
        <w:tblPrEx>
          <w:tblCellMar>
            <w:top w:w="0" w:type="dxa"/>
            <w:bottom w:w="0" w:type="dxa"/>
          </w:tblCellMar>
        </w:tblPrEx>
        <w:tc>
          <w:tcPr>
            <w:tcW w:w="900" w:type="dxa"/>
            <w:tcBorders>
              <w:top w:val="single" w:sz="6" w:space="0" w:color="B8C5D6"/>
              <w:left w:val="single" w:sz="6" w:space="0" w:color="B8C5D6"/>
              <w:bottom w:val="single" w:sz="6" w:space="0" w:color="B8C5D6"/>
              <w:right w:val="single" w:sz="6" w:space="0" w:color="B8C5D6"/>
            </w:tcBorders>
            <w:shd w:val="clear" w:color="auto" w:fill="E8F5E9"/>
            <w:tcMar>
              <w:top w:w="80" w:type="dxa"/>
              <w:left w:w="100" w:type="dxa"/>
              <w:bottom w:w="80" w:type="dxa"/>
              <w:right w:w="100" w:type="dxa"/>
            </w:tcMar>
            <w:vAlign w:val="center"/>
          </w:tcPr>
          <w:p w:rsidR="00D22AE7" w:rsidRDefault="005A1FFD">
            <w:pPr>
              <w:jc w:val="center"/>
            </w:pPr>
            <w:r>
              <w:rPr>
                <w:b/>
                <w:bCs/>
                <w:color w:val="000000"/>
                <w:sz w:val="20"/>
                <w:szCs w:val="20"/>
              </w:rPr>
              <w:t>4</w:t>
            </w:r>
          </w:p>
        </w:tc>
        <w:tc>
          <w:tcPr>
            <w:tcW w:w="1000" w:type="dxa"/>
            <w:tcBorders>
              <w:top w:val="single" w:sz="6" w:space="0" w:color="B8C5D6"/>
              <w:left w:val="single" w:sz="6" w:space="0" w:color="B8C5D6"/>
              <w:bottom w:val="single" w:sz="6" w:space="0" w:color="B8C5D6"/>
              <w:right w:val="single" w:sz="6" w:space="0" w:color="B8C5D6"/>
            </w:tcBorders>
            <w:shd w:val="clear" w:color="auto" w:fill="E8F5E9"/>
            <w:tcMar>
              <w:top w:w="80" w:type="dxa"/>
              <w:left w:w="100" w:type="dxa"/>
              <w:bottom w:w="80" w:type="dxa"/>
              <w:right w:w="100" w:type="dxa"/>
            </w:tcMar>
            <w:vAlign w:val="center"/>
          </w:tcPr>
          <w:p w:rsidR="00D22AE7" w:rsidRDefault="005A1FFD">
            <w:r>
              <w:rPr>
                <w:b/>
                <w:bCs/>
                <w:color w:val="000000"/>
                <w:sz w:val="20"/>
                <w:szCs w:val="20"/>
              </w:rPr>
              <w:t>Excellent</w:t>
            </w:r>
          </w:p>
        </w:tc>
        <w:tc>
          <w:tcPr>
            <w:tcW w:w="7460" w:type="dxa"/>
            <w:tcBorders>
              <w:top w:val="single" w:sz="6" w:space="0" w:color="B8C5D6"/>
              <w:left w:val="single" w:sz="6" w:space="0" w:color="B8C5D6"/>
              <w:bottom w:val="single" w:sz="6" w:space="0" w:color="B8C5D6"/>
              <w:right w:val="single" w:sz="6" w:space="0" w:color="B8C5D6"/>
            </w:tcBorders>
            <w:shd w:val="clear" w:color="auto" w:fill="E8F5E9"/>
            <w:tcMar>
              <w:top w:w="80" w:type="dxa"/>
              <w:left w:w="100" w:type="dxa"/>
              <w:bottom w:w="80" w:type="dxa"/>
              <w:right w:w="100" w:type="dxa"/>
            </w:tcMar>
          </w:tcPr>
          <w:p w:rsidR="00D22AE7" w:rsidRDefault="005A1FFD">
            <w:r>
              <w:rPr>
                <w:sz w:val="20"/>
                <w:szCs w:val="20"/>
              </w:rPr>
              <w:t>Budget/cost performance index (CPI) &gt; 0.95; schedule/timeline performance index (SPI) &gt; 0.95</w:t>
            </w:r>
          </w:p>
          <w:p w:rsidR="00D22AE7" w:rsidRDefault="005A1FFD">
            <w:r>
              <w:rPr>
                <w:sz w:val="20"/>
                <w:szCs w:val="20"/>
              </w:rPr>
              <w:t>Defect/error rate &lt; 5%; deliverable rework rate &lt; 5%</w:t>
            </w:r>
          </w:p>
          <w:p w:rsidR="00D22AE7" w:rsidRDefault="005A1FFD">
            <w:r>
              <w:rPr>
                <w:sz w:val="20"/>
                <w:szCs w:val="20"/>
              </w:rPr>
              <w:t>Client/customer retention rate 90%+; consistently strong reference feedback</w:t>
            </w:r>
          </w:p>
          <w:p w:rsidR="00D22AE7" w:rsidRDefault="005A1FFD">
            <w:r>
              <w:rPr>
                <w:sz w:val="20"/>
                <w:szCs w:val="20"/>
              </w:rPr>
              <w:t xml:space="preserve">SLA compliance 98%+ on comparable </w:t>
            </w:r>
            <w:r>
              <w:rPr>
                <w:sz w:val="20"/>
                <w:szCs w:val="20"/>
              </w:rPr>
              <w:t>engagements; proactive issue escalation</w:t>
            </w:r>
          </w:p>
        </w:tc>
      </w:tr>
      <w:tr w:rsidR="00D22AE7">
        <w:tblPrEx>
          <w:tblCellMar>
            <w:top w:w="0" w:type="dxa"/>
            <w:bottom w:w="0" w:type="dxa"/>
          </w:tblCellMar>
        </w:tblPrEx>
        <w:tc>
          <w:tcPr>
            <w:tcW w:w="900" w:type="dxa"/>
            <w:tcBorders>
              <w:top w:val="single" w:sz="6" w:space="0" w:color="B8C5D6"/>
              <w:left w:val="single" w:sz="6" w:space="0" w:color="B8C5D6"/>
              <w:bottom w:val="single" w:sz="6" w:space="0" w:color="B8C5D6"/>
              <w:right w:val="single" w:sz="6" w:space="0" w:color="B8C5D6"/>
            </w:tcBorders>
            <w:shd w:val="clear" w:color="auto" w:fill="F1F8E9"/>
            <w:tcMar>
              <w:top w:w="80" w:type="dxa"/>
              <w:left w:w="100" w:type="dxa"/>
              <w:bottom w:w="80" w:type="dxa"/>
              <w:right w:w="100" w:type="dxa"/>
            </w:tcMar>
            <w:vAlign w:val="center"/>
          </w:tcPr>
          <w:p w:rsidR="00D22AE7" w:rsidRDefault="005A1FFD">
            <w:pPr>
              <w:jc w:val="center"/>
            </w:pPr>
            <w:r>
              <w:rPr>
                <w:b/>
                <w:bCs/>
                <w:color w:val="000000"/>
                <w:sz w:val="20"/>
                <w:szCs w:val="20"/>
              </w:rPr>
              <w:t>3</w:t>
            </w:r>
          </w:p>
        </w:tc>
        <w:tc>
          <w:tcPr>
            <w:tcW w:w="1000" w:type="dxa"/>
            <w:tcBorders>
              <w:top w:val="single" w:sz="6" w:space="0" w:color="B8C5D6"/>
              <w:left w:val="single" w:sz="6" w:space="0" w:color="B8C5D6"/>
              <w:bottom w:val="single" w:sz="6" w:space="0" w:color="B8C5D6"/>
              <w:right w:val="single" w:sz="6" w:space="0" w:color="B8C5D6"/>
            </w:tcBorders>
            <w:shd w:val="clear" w:color="auto" w:fill="F1F8E9"/>
            <w:tcMar>
              <w:top w:w="80" w:type="dxa"/>
              <w:left w:w="100" w:type="dxa"/>
              <w:bottom w:w="80" w:type="dxa"/>
              <w:right w:w="100" w:type="dxa"/>
            </w:tcMar>
            <w:vAlign w:val="center"/>
          </w:tcPr>
          <w:p w:rsidR="00D22AE7" w:rsidRDefault="005A1FFD">
            <w:r>
              <w:rPr>
                <w:b/>
                <w:bCs/>
                <w:color w:val="000000"/>
                <w:sz w:val="20"/>
                <w:szCs w:val="20"/>
              </w:rPr>
              <w:t>Good</w:t>
            </w:r>
          </w:p>
        </w:tc>
        <w:tc>
          <w:tcPr>
            <w:tcW w:w="7460" w:type="dxa"/>
            <w:tcBorders>
              <w:top w:val="single" w:sz="6" w:space="0" w:color="B8C5D6"/>
              <w:left w:val="single" w:sz="6" w:space="0" w:color="B8C5D6"/>
              <w:bottom w:val="single" w:sz="6" w:space="0" w:color="B8C5D6"/>
              <w:right w:val="single" w:sz="6" w:space="0" w:color="B8C5D6"/>
            </w:tcBorders>
            <w:shd w:val="clear" w:color="auto" w:fill="F1F8E9"/>
            <w:tcMar>
              <w:top w:w="80" w:type="dxa"/>
              <w:left w:w="100" w:type="dxa"/>
              <w:bottom w:w="80" w:type="dxa"/>
              <w:right w:w="100" w:type="dxa"/>
            </w:tcMar>
          </w:tcPr>
          <w:p w:rsidR="00D22AE7" w:rsidRDefault="005A1FFD">
            <w:r>
              <w:rPr>
                <w:sz w:val="20"/>
                <w:szCs w:val="20"/>
              </w:rPr>
              <w:t>CPI 0.90–0.95; SPI 0.90–0.95; occasional minor variances</w:t>
            </w:r>
          </w:p>
          <w:p w:rsidR="00D22AE7" w:rsidRDefault="005A1FFD">
            <w:r>
              <w:rPr>
                <w:sz w:val="20"/>
                <w:szCs w:val="20"/>
              </w:rPr>
              <w:t>Defect/error rate 5–10%; rework within acceptable bounds</w:t>
            </w:r>
          </w:p>
          <w:p w:rsidR="00D22AE7" w:rsidRDefault="005A1FFD">
            <w:r>
              <w:rPr>
                <w:sz w:val="20"/>
                <w:szCs w:val="20"/>
              </w:rPr>
              <w:t>Client retention 75–90%; positive references with minor qualifications</w:t>
            </w:r>
          </w:p>
          <w:p w:rsidR="00D22AE7" w:rsidRDefault="005A1FFD">
            <w:r>
              <w:rPr>
                <w:sz w:val="20"/>
                <w:szCs w:val="20"/>
              </w:rPr>
              <w:lastRenderedPageBreak/>
              <w:t>SLA compliance 90–98%; documented remediation for any breaches</w:t>
            </w:r>
          </w:p>
        </w:tc>
      </w:tr>
      <w:tr w:rsidR="00D22AE7">
        <w:tblPrEx>
          <w:tblCellMar>
            <w:top w:w="0" w:type="dxa"/>
            <w:bottom w:w="0" w:type="dxa"/>
          </w:tblCellMar>
        </w:tblPrEx>
        <w:tc>
          <w:tcPr>
            <w:tcW w:w="900" w:type="dxa"/>
            <w:tcBorders>
              <w:top w:val="single" w:sz="6" w:space="0" w:color="B8C5D6"/>
              <w:left w:val="single" w:sz="6" w:space="0" w:color="B8C5D6"/>
              <w:bottom w:val="single" w:sz="6" w:space="0" w:color="B8C5D6"/>
              <w:right w:val="single" w:sz="6" w:space="0" w:color="B8C5D6"/>
            </w:tcBorders>
            <w:shd w:val="clear" w:color="auto" w:fill="FFFDE7"/>
            <w:tcMar>
              <w:top w:w="80" w:type="dxa"/>
              <w:left w:w="100" w:type="dxa"/>
              <w:bottom w:w="80" w:type="dxa"/>
              <w:right w:w="100" w:type="dxa"/>
            </w:tcMar>
            <w:vAlign w:val="center"/>
          </w:tcPr>
          <w:p w:rsidR="00D22AE7" w:rsidRDefault="005A1FFD">
            <w:pPr>
              <w:jc w:val="center"/>
            </w:pPr>
            <w:r>
              <w:rPr>
                <w:b/>
                <w:bCs/>
                <w:color w:val="000000"/>
                <w:sz w:val="20"/>
                <w:szCs w:val="20"/>
              </w:rPr>
              <w:lastRenderedPageBreak/>
              <w:t>2</w:t>
            </w:r>
          </w:p>
        </w:tc>
        <w:tc>
          <w:tcPr>
            <w:tcW w:w="1000" w:type="dxa"/>
            <w:tcBorders>
              <w:top w:val="single" w:sz="6" w:space="0" w:color="B8C5D6"/>
              <w:left w:val="single" w:sz="6" w:space="0" w:color="B8C5D6"/>
              <w:bottom w:val="single" w:sz="6" w:space="0" w:color="B8C5D6"/>
              <w:right w:val="single" w:sz="6" w:space="0" w:color="B8C5D6"/>
            </w:tcBorders>
            <w:shd w:val="clear" w:color="auto" w:fill="FFFDE7"/>
            <w:tcMar>
              <w:top w:w="80" w:type="dxa"/>
              <w:left w:w="100" w:type="dxa"/>
              <w:bottom w:w="80" w:type="dxa"/>
              <w:right w:w="100" w:type="dxa"/>
            </w:tcMar>
            <w:vAlign w:val="center"/>
          </w:tcPr>
          <w:p w:rsidR="00D22AE7" w:rsidRDefault="005A1FFD">
            <w:r>
              <w:rPr>
                <w:b/>
                <w:bCs/>
                <w:color w:val="000000"/>
                <w:sz w:val="20"/>
                <w:szCs w:val="20"/>
              </w:rPr>
              <w:t>Fair</w:t>
            </w:r>
          </w:p>
        </w:tc>
        <w:tc>
          <w:tcPr>
            <w:tcW w:w="7460" w:type="dxa"/>
            <w:tcBorders>
              <w:top w:val="single" w:sz="6" w:space="0" w:color="B8C5D6"/>
              <w:left w:val="single" w:sz="6" w:space="0" w:color="B8C5D6"/>
              <w:bottom w:val="single" w:sz="6" w:space="0" w:color="B8C5D6"/>
              <w:right w:val="single" w:sz="6" w:space="0" w:color="B8C5D6"/>
            </w:tcBorders>
            <w:shd w:val="clear" w:color="auto" w:fill="FFFDE7"/>
            <w:tcMar>
              <w:top w:w="80" w:type="dxa"/>
              <w:left w:w="100" w:type="dxa"/>
              <w:bottom w:w="80" w:type="dxa"/>
              <w:right w:w="100" w:type="dxa"/>
            </w:tcMar>
          </w:tcPr>
          <w:p w:rsidR="00D22AE7" w:rsidRDefault="005A1FFD">
            <w:r>
              <w:rPr>
                <w:sz w:val="20"/>
                <w:szCs w:val="20"/>
              </w:rPr>
              <w:t>CPI 0.85–0.90; SPI 0.85–0.90; notable variances requiring explanation</w:t>
            </w:r>
          </w:p>
          <w:p w:rsidR="00D22AE7" w:rsidRDefault="005A1FFD">
            <w:r>
              <w:rPr>
                <w:sz w:val="20"/>
                <w:szCs w:val="20"/>
              </w:rPr>
              <w:t>Defect/error rate 10–15%; rework materially impacts timelines or cost</w:t>
            </w:r>
          </w:p>
          <w:p w:rsidR="00D22AE7" w:rsidRDefault="005A1FFD">
            <w:r>
              <w:rPr>
                <w:sz w:val="20"/>
                <w:szCs w:val="20"/>
              </w:rPr>
              <w:t>Client retention 60–75%; mixed references; some contracts ended early</w:t>
            </w:r>
          </w:p>
          <w:p w:rsidR="00D22AE7" w:rsidRDefault="005A1FFD">
            <w:r>
              <w:rPr>
                <w:sz w:val="20"/>
                <w:szCs w:val="20"/>
              </w:rPr>
              <w:t>SLA compliance 80–90%; recurring issues with i</w:t>
            </w:r>
            <w:r>
              <w:rPr>
                <w:sz w:val="20"/>
                <w:szCs w:val="20"/>
              </w:rPr>
              <w:t>nconsistent resolution</w:t>
            </w:r>
          </w:p>
        </w:tc>
      </w:tr>
      <w:tr w:rsidR="00D22AE7">
        <w:tblPrEx>
          <w:tblCellMar>
            <w:top w:w="0" w:type="dxa"/>
            <w:bottom w:w="0" w:type="dxa"/>
          </w:tblCellMar>
        </w:tblPrEx>
        <w:tc>
          <w:tcPr>
            <w:tcW w:w="900" w:type="dxa"/>
            <w:tcBorders>
              <w:top w:val="single" w:sz="6" w:space="0" w:color="B8C5D6"/>
              <w:left w:val="single" w:sz="6" w:space="0" w:color="B8C5D6"/>
              <w:bottom w:val="single" w:sz="6" w:space="0" w:color="B8C5D6"/>
              <w:right w:val="single" w:sz="6" w:space="0" w:color="B8C5D6"/>
            </w:tcBorders>
            <w:shd w:val="clear" w:color="auto" w:fill="FBE9E7"/>
            <w:tcMar>
              <w:top w:w="80" w:type="dxa"/>
              <w:left w:w="100" w:type="dxa"/>
              <w:bottom w:w="80" w:type="dxa"/>
              <w:right w:w="100" w:type="dxa"/>
            </w:tcMar>
            <w:vAlign w:val="center"/>
          </w:tcPr>
          <w:p w:rsidR="00D22AE7" w:rsidRDefault="005A1FFD">
            <w:pPr>
              <w:jc w:val="center"/>
            </w:pPr>
            <w:r>
              <w:rPr>
                <w:b/>
                <w:bCs/>
                <w:color w:val="000000"/>
                <w:sz w:val="20"/>
                <w:szCs w:val="20"/>
              </w:rPr>
              <w:t>1</w:t>
            </w:r>
          </w:p>
        </w:tc>
        <w:tc>
          <w:tcPr>
            <w:tcW w:w="1000" w:type="dxa"/>
            <w:tcBorders>
              <w:top w:val="single" w:sz="6" w:space="0" w:color="B8C5D6"/>
              <w:left w:val="single" w:sz="6" w:space="0" w:color="B8C5D6"/>
              <w:bottom w:val="single" w:sz="6" w:space="0" w:color="B8C5D6"/>
              <w:right w:val="single" w:sz="6" w:space="0" w:color="B8C5D6"/>
            </w:tcBorders>
            <w:shd w:val="clear" w:color="auto" w:fill="FBE9E7"/>
            <w:tcMar>
              <w:top w:w="80" w:type="dxa"/>
              <w:left w:w="100" w:type="dxa"/>
              <w:bottom w:w="80" w:type="dxa"/>
              <w:right w:w="100" w:type="dxa"/>
            </w:tcMar>
            <w:vAlign w:val="center"/>
          </w:tcPr>
          <w:p w:rsidR="00D22AE7" w:rsidRDefault="005A1FFD">
            <w:r>
              <w:rPr>
                <w:b/>
                <w:bCs/>
                <w:color w:val="000000"/>
                <w:sz w:val="20"/>
                <w:szCs w:val="20"/>
              </w:rPr>
              <w:t>Poor</w:t>
            </w:r>
          </w:p>
        </w:tc>
        <w:tc>
          <w:tcPr>
            <w:tcW w:w="7460" w:type="dxa"/>
            <w:tcBorders>
              <w:top w:val="single" w:sz="6" w:space="0" w:color="B8C5D6"/>
              <w:left w:val="single" w:sz="6" w:space="0" w:color="B8C5D6"/>
              <w:bottom w:val="single" w:sz="6" w:space="0" w:color="B8C5D6"/>
              <w:right w:val="single" w:sz="6" w:space="0" w:color="B8C5D6"/>
            </w:tcBorders>
            <w:shd w:val="clear" w:color="auto" w:fill="FBE9E7"/>
            <w:tcMar>
              <w:top w:w="80" w:type="dxa"/>
              <w:left w:w="100" w:type="dxa"/>
              <w:bottom w:w="80" w:type="dxa"/>
              <w:right w:w="100" w:type="dxa"/>
            </w:tcMar>
          </w:tcPr>
          <w:p w:rsidR="00D22AE7" w:rsidRDefault="005A1FFD">
            <w:r>
              <w:rPr>
                <w:sz w:val="20"/>
                <w:szCs w:val="20"/>
              </w:rPr>
              <w:t>CPI &lt; 0.85; SPI &lt; 0.85; significant and unresolved variances</w:t>
            </w:r>
          </w:p>
          <w:p w:rsidR="00D22AE7" w:rsidRDefault="005A1FFD">
            <w:r>
              <w:rPr>
                <w:sz w:val="20"/>
                <w:szCs w:val="20"/>
              </w:rPr>
              <w:t>Defect/error rate &gt; 15%; chronic quality failures or customer complaints</w:t>
            </w:r>
          </w:p>
          <w:p w:rsidR="00D22AE7" w:rsidRDefault="005A1FFD">
            <w:r>
              <w:rPr>
                <w:sz w:val="20"/>
                <w:szCs w:val="20"/>
              </w:rPr>
              <w:t>Client retention &lt; 60%; negative references; terminated contracts or disputes</w:t>
            </w:r>
          </w:p>
          <w:p w:rsidR="00D22AE7" w:rsidRDefault="005A1FFD">
            <w:r>
              <w:rPr>
                <w:sz w:val="20"/>
                <w:szCs w:val="20"/>
              </w:rPr>
              <w:t>SLA compliance &lt; 80%; unresolved breach history; no improvement trend</w:t>
            </w:r>
          </w:p>
        </w:tc>
      </w:tr>
    </w:tbl>
    <w:p w:rsidR="00D22AE7" w:rsidRDefault="00D22AE7">
      <w:pPr>
        <w:spacing w:before="120" w:after="0"/>
      </w:pPr>
    </w:p>
    <w:p w:rsidR="00D22AE7" w:rsidRDefault="005A1FFD">
      <w:pPr>
        <w:spacing w:before="220" w:after="100"/>
      </w:pPr>
      <w:r>
        <w:rPr>
          <w:b/>
          <w:bCs/>
          <w:color w:val="1B3A6B"/>
          <w:sz w:val="24"/>
          <w:szCs w:val="24"/>
        </w:rPr>
        <w:t>C4. Operational Capacity   (20% weight)</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
        <w:gridCol w:w="1079"/>
        <w:gridCol w:w="7460"/>
      </w:tblGrid>
      <w:tr w:rsidR="00D22AE7">
        <w:tblPrEx>
          <w:tblCellMar>
            <w:top w:w="0" w:type="dxa"/>
            <w:bottom w:w="0" w:type="dxa"/>
          </w:tblCellMar>
        </w:tblPrEx>
        <w:trPr>
          <w:tblHeader/>
        </w:trPr>
        <w:tc>
          <w:tcPr>
            <w:tcW w:w="900" w:type="dxa"/>
            <w:tcBorders>
              <w:top w:val="single" w:sz="6" w:space="0" w:color="B8C5D6"/>
              <w:left w:val="single" w:sz="6" w:space="0" w:color="B8C5D6"/>
              <w:bottom w:val="single" w:sz="6" w:space="0" w:color="B8C5D6"/>
              <w:right w:val="single" w:sz="6" w:space="0" w:color="B8C5D6"/>
            </w:tcBorders>
            <w:shd w:val="clear" w:color="auto" w:fill="2E5C9E"/>
            <w:tcMar>
              <w:top w:w="100" w:type="dxa"/>
              <w:left w:w="100" w:type="dxa"/>
              <w:bottom w:w="100" w:type="dxa"/>
              <w:right w:w="100" w:type="dxa"/>
            </w:tcMar>
            <w:vAlign w:val="center"/>
          </w:tcPr>
          <w:p w:rsidR="00D22AE7" w:rsidRDefault="005A1FFD">
            <w:pPr>
              <w:jc w:val="center"/>
            </w:pPr>
            <w:r>
              <w:rPr>
                <w:b/>
                <w:bCs/>
                <w:color w:val="FFFFFF"/>
                <w:sz w:val="20"/>
                <w:szCs w:val="20"/>
              </w:rPr>
              <w:t>Score</w:t>
            </w:r>
          </w:p>
        </w:tc>
        <w:tc>
          <w:tcPr>
            <w:tcW w:w="1000" w:type="dxa"/>
            <w:tcBorders>
              <w:top w:val="single" w:sz="6" w:space="0" w:color="B8C5D6"/>
              <w:left w:val="single" w:sz="6" w:space="0" w:color="B8C5D6"/>
              <w:bottom w:val="single" w:sz="6" w:space="0" w:color="B8C5D6"/>
              <w:right w:val="single" w:sz="6" w:space="0" w:color="B8C5D6"/>
            </w:tcBorders>
            <w:shd w:val="clear" w:color="auto" w:fill="2E5C9E"/>
            <w:tcMar>
              <w:top w:w="100" w:type="dxa"/>
              <w:left w:w="100" w:type="dxa"/>
              <w:bottom w:w="100" w:type="dxa"/>
              <w:right w:w="100" w:type="dxa"/>
            </w:tcMar>
            <w:vAlign w:val="center"/>
          </w:tcPr>
          <w:p w:rsidR="00D22AE7" w:rsidRDefault="005A1FFD">
            <w:pPr>
              <w:jc w:val="center"/>
            </w:pPr>
            <w:r>
              <w:rPr>
                <w:b/>
                <w:bCs/>
                <w:color w:val="FFFFFF"/>
                <w:sz w:val="20"/>
                <w:szCs w:val="20"/>
              </w:rPr>
              <w:t>Level</w:t>
            </w:r>
          </w:p>
        </w:tc>
        <w:tc>
          <w:tcPr>
            <w:tcW w:w="7460" w:type="dxa"/>
            <w:tcBorders>
              <w:top w:val="single" w:sz="6" w:space="0" w:color="B8C5D6"/>
              <w:left w:val="single" w:sz="6" w:space="0" w:color="B8C5D6"/>
              <w:bottom w:val="single" w:sz="6" w:space="0" w:color="B8C5D6"/>
              <w:right w:val="single" w:sz="6" w:space="0" w:color="B8C5D6"/>
            </w:tcBorders>
            <w:shd w:val="clear" w:color="auto" w:fill="2E5C9E"/>
            <w:tcMar>
              <w:top w:w="100" w:type="dxa"/>
              <w:left w:w="100" w:type="dxa"/>
              <w:bottom w:w="100" w:type="dxa"/>
              <w:right w:w="100" w:type="dxa"/>
            </w:tcMar>
            <w:vAlign w:val="center"/>
          </w:tcPr>
          <w:p w:rsidR="00D22AE7" w:rsidRDefault="005A1FFD">
            <w:pPr>
              <w:jc w:val="center"/>
            </w:pPr>
            <w:r>
              <w:rPr>
                <w:b/>
                <w:bCs/>
                <w:color w:val="FFFFFF"/>
                <w:sz w:val="20"/>
                <w:szCs w:val="20"/>
              </w:rPr>
              <w:t>Criteria</w:t>
            </w:r>
          </w:p>
        </w:tc>
      </w:tr>
      <w:tr w:rsidR="00D22AE7">
        <w:tblPrEx>
          <w:tblCellMar>
            <w:top w:w="0" w:type="dxa"/>
            <w:bottom w:w="0" w:type="dxa"/>
          </w:tblCellMar>
        </w:tblPrEx>
        <w:tc>
          <w:tcPr>
            <w:tcW w:w="900" w:type="dxa"/>
            <w:tcBorders>
              <w:top w:val="single" w:sz="6" w:space="0" w:color="B8C5D6"/>
              <w:left w:val="single" w:sz="6" w:space="0" w:color="B8C5D6"/>
              <w:bottom w:val="single" w:sz="6" w:space="0" w:color="B8C5D6"/>
              <w:right w:val="single" w:sz="6" w:space="0" w:color="B8C5D6"/>
            </w:tcBorders>
            <w:shd w:val="clear" w:color="auto" w:fill="E8F5E9"/>
            <w:tcMar>
              <w:top w:w="80" w:type="dxa"/>
              <w:left w:w="100" w:type="dxa"/>
              <w:bottom w:w="80" w:type="dxa"/>
              <w:right w:w="100" w:type="dxa"/>
            </w:tcMar>
            <w:vAlign w:val="center"/>
          </w:tcPr>
          <w:p w:rsidR="00D22AE7" w:rsidRDefault="005A1FFD">
            <w:pPr>
              <w:jc w:val="center"/>
            </w:pPr>
            <w:r>
              <w:rPr>
                <w:b/>
                <w:bCs/>
                <w:color w:val="000000"/>
                <w:sz w:val="20"/>
                <w:szCs w:val="20"/>
              </w:rPr>
              <w:t>4</w:t>
            </w:r>
          </w:p>
        </w:tc>
        <w:tc>
          <w:tcPr>
            <w:tcW w:w="1000" w:type="dxa"/>
            <w:tcBorders>
              <w:top w:val="single" w:sz="6" w:space="0" w:color="B8C5D6"/>
              <w:left w:val="single" w:sz="6" w:space="0" w:color="B8C5D6"/>
              <w:bottom w:val="single" w:sz="6" w:space="0" w:color="B8C5D6"/>
              <w:right w:val="single" w:sz="6" w:space="0" w:color="B8C5D6"/>
            </w:tcBorders>
            <w:shd w:val="clear" w:color="auto" w:fill="E8F5E9"/>
            <w:tcMar>
              <w:top w:w="80" w:type="dxa"/>
              <w:left w:w="100" w:type="dxa"/>
              <w:bottom w:w="80" w:type="dxa"/>
              <w:right w:w="100" w:type="dxa"/>
            </w:tcMar>
            <w:vAlign w:val="center"/>
          </w:tcPr>
          <w:p w:rsidR="00D22AE7" w:rsidRDefault="005A1FFD">
            <w:r>
              <w:rPr>
                <w:b/>
                <w:bCs/>
                <w:color w:val="000000"/>
                <w:sz w:val="20"/>
                <w:szCs w:val="20"/>
              </w:rPr>
              <w:t>Excellent</w:t>
            </w:r>
          </w:p>
        </w:tc>
        <w:tc>
          <w:tcPr>
            <w:tcW w:w="7460" w:type="dxa"/>
            <w:tcBorders>
              <w:top w:val="single" w:sz="6" w:space="0" w:color="B8C5D6"/>
              <w:left w:val="single" w:sz="6" w:space="0" w:color="B8C5D6"/>
              <w:bottom w:val="single" w:sz="6" w:space="0" w:color="B8C5D6"/>
              <w:right w:val="single" w:sz="6" w:space="0" w:color="B8C5D6"/>
            </w:tcBorders>
            <w:shd w:val="clear" w:color="auto" w:fill="E8F5E9"/>
            <w:tcMar>
              <w:top w:w="80" w:type="dxa"/>
              <w:left w:w="100" w:type="dxa"/>
              <w:bottom w:w="80" w:type="dxa"/>
              <w:right w:w="100" w:type="dxa"/>
            </w:tcMar>
          </w:tcPr>
          <w:p w:rsidR="00D22AE7" w:rsidRDefault="005A1FFD">
            <w:r>
              <w:rPr>
                <w:sz w:val="20"/>
                <w:szCs w:val="20"/>
              </w:rPr>
              <w:t>Current capacity utilization &lt; 70%; demonstrated ability to onboard new engagements without service degradation</w:t>
            </w:r>
          </w:p>
          <w:p w:rsidR="00D22AE7" w:rsidRDefault="005A1FFD">
            <w:r>
              <w:rPr>
                <w:sz w:val="20"/>
                <w:szCs w:val="20"/>
              </w:rPr>
              <w:t>Deep bench strength; clearly identified key-person backups and succession planning</w:t>
            </w:r>
          </w:p>
          <w:p w:rsidR="00D22AE7" w:rsidRDefault="005A1FFD">
            <w:r>
              <w:rPr>
                <w:sz w:val="20"/>
                <w:szCs w:val="20"/>
              </w:rPr>
              <w:t>Proven scalability — has successfully scaled operations durin</w:t>
            </w:r>
            <w:r>
              <w:rPr>
                <w:sz w:val="20"/>
                <w:szCs w:val="20"/>
              </w:rPr>
              <w:t>g peak demand</w:t>
            </w:r>
          </w:p>
          <w:p w:rsidR="00D22AE7" w:rsidRDefault="005A1FFD">
            <w:r>
              <w:rPr>
                <w:sz w:val="20"/>
                <w:szCs w:val="20"/>
              </w:rPr>
              <w:t>Geographic reach and/or remote capabilities aligned with engagement needs</w:t>
            </w:r>
          </w:p>
        </w:tc>
      </w:tr>
      <w:tr w:rsidR="00D22AE7">
        <w:tblPrEx>
          <w:tblCellMar>
            <w:top w:w="0" w:type="dxa"/>
            <w:bottom w:w="0" w:type="dxa"/>
          </w:tblCellMar>
        </w:tblPrEx>
        <w:tc>
          <w:tcPr>
            <w:tcW w:w="900" w:type="dxa"/>
            <w:tcBorders>
              <w:top w:val="single" w:sz="6" w:space="0" w:color="B8C5D6"/>
              <w:left w:val="single" w:sz="6" w:space="0" w:color="B8C5D6"/>
              <w:bottom w:val="single" w:sz="6" w:space="0" w:color="B8C5D6"/>
              <w:right w:val="single" w:sz="6" w:space="0" w:color="B8C5D6"/>
            </w:tcBorders>
            <w:shd w:val="clear" w:color="auto" w:fill="F1F8E9"/>
            <w:tcMar>
              <w:top w:w="80" w:type="dxa"/>
              <w:left w:w="100" w:type="dxa"/>
              <w:bottom w:w="80" w:type="dxa"/>
              <w:right w:w="100" w:type="dxa"/>
            </w:tcMar>
            <w:vAlign w:val="center"/>
          </w:tcPr>
          <w:p w:rsidR="00D22AE7" w:rsidRDefault="005A1FFD">
            <w:pPr>
              <w:jc w:val="center"/>
            </w:pPr>
            <w:r>
              <w:rPr>
                <w:b/>
                <w:bCs/>
                <w:color w:val="000000"/>
                <w:sz w:val="20"/>
                <w:szCs w:val="20"/>
              </w:rPr>
              <w:t>3</w:t>
            </w:r>
          </w:p>
        </w:tc>
        <w:tc>
          <w:tcPr>
            <w:tcW w:w="1000" w:type="dxa"/>
            <w:tcBorders>
              <w:top w:val="single" w:sz="6" w:space="0" w:color="B8C5D6"/>
              <w:left w:val="single" w:sz="6" w:space="0" w:color="B8C5D6"/>
              <w:bottom w:val="single" w:sz="6" w:space="0" w:color="B8C5D6"/>
              <w:right w:val="single" w:sz="6" w:space="0" w:color="B8C5D6"/>
            </w:tcBorders>
            <w:shd w:val="clear" w:color="auto" w:fill="F1F8E9"/>
            <w:tcMar>
              <w:top w:w="80" w:type="dxa"/>
              <w:left w:w="100" w:type="dxa"/>
              <w:bottom w:w="80" w:type="dxa"/>
              <w:right w:w="100" w:type="dxa"/>
            </w:tcMar>
            <w:vAlign w:val="center"/>
          </w:tcPr>
          <w:p w:rsidR="00D22AE7" w:rsidRDefault="005A1FFD">
            <w:r>
              <w:rPr>
                <w:b/>
                <w:bCs/>
                <w:color w:val="000000"/>
                <w:sz w:val="20"/>
                <w:szCs w:val="20"/>
              </w:rPr>
              <w:t>Good</w:t>
            </w:r>
          </w:p>
        </w:tc>
        <w:tc>
          <w:tcPr>
            <w:tcW w:w="7460" w:type="dxa"/>
            <w:tcBorders>
              <w:top w:val="single" w:sz="6" w:space="0" w:color="B8C5D6"/>
              <w:left w:val="single" w:sz="6" w:space="0" w:color="B8C5D6"/>
              <w:bottom w:val="single" w:sz="6" w:space="0" w:color="B8C5D6"/>
              <w:right w:val="single" w:sz="6" w:space="0" w:color="B8C5D6"/>
            </w:tcBorders>
            <w:shd w:val="clear" w:color="auto" w:fill="F1F8E9"/>
            <w:tcMar>
              <w:top w:w="80" w:type="dxa"/>
              <w:left w:w="100" w:type="dxa"/>
              <w:bottom w:w="80" w:type="dxa"/>
              <w:right w:w="100" w:type="dxa"/>
            </w:tcMar>
          </w:tcPr>
          <w:p w:rsidR="00D22AE7" w:rsidRDefault="005A1FFD">
            <w:r>
              <w:rPr>
                <w:sz w:val="20"/>
                <w:szCs w:val="20"/>
              </w:rPr>
              <w:t>Capacity utilization 70–85%; adequate bandwidth to accept engagement with standard ramp-up</w:t>
            </w:r>
          </w:p>
          <w:p w:rsidR="00D22AE7" w:rsidRDefault="005A1FFD">
            <w:r>
              <w:rPr>
                <w:sz w:val="20"/>
                <w:szCs w:val="20"/>
              </w:rPr>
              <w:t>Adequate staffing depth; informal key-person backup plans</w:t>
            </w:r>
          </w:p>
          <w:p w:rsidR="00D22AE7" w:rsidRDefault="005A1FFD">
            <w:r>
              <w:rPr>
                <w:sz w:val="20"/>
                <w:szCs w:val="20"/>
              </w:rPr>
              <w:t>Some demonstrated scalability; growth managed with moderate effort</w:t>
            </w:r>
          </w:p>
          <w:p w:rsidR="00D22AE7" w:rsidRDefault="005A1FFD">
            <w:r>
              <w:rPr>
                <w:sz w:val="20"/>
                <w:szCs w:val="20"/>
              </w:rPr>
              <w:t>Operational footprint meets engagement r</w:t>
            </w:r>
            <w:r>
              <w:rPr>
                <w:sz w:val="20"/>
                <w:szCs w:val="20"/>
              </w:rPr>
              <w:t>equirements</w:t>
            </w:r>
          </w:p>
        </w:tc>
      </w:tr>
      <w:tr w:rsidR="00D22AE7">
        <w:tblPrEx>
          <w:tblCellMar>
            <w:top w:w="0" w:type="dxa"/>
            <w:bottom w:w="0" w:type="dxa"/>
          </w:tblCellMar>
        </w:tblPrEx>
        <w:tc>
          <w:tcPr>
            <w:tcW w:w="900" w:type="dxa"/>
            <w:tcBorders>
              <w:top w:val="single" w:sz="6" w:space="0" w:color="B8C5D6"/>
              <w:left w:val="single" w:sz="6" w:space="0" w:color="B8C5D6"/>
              <w:bottom w:val="single" w:sz="6" w:space="0" w:color="B8C5D6"/>
              <w:right w:val="single" w:sz="6" w:space="0" w:color="B8C5D6"/>
            </w:tcBorders>
            <w:shd w:val="clear" w:color="auto" w:fill="FFFDE7"/>
            <w:tcMar>
              <w:top w:w="80" w:type="dxa"/>
              <w:left w:w="100" w:type="dxa"/>
              <w:bottom w:w="80" w:type="dxa"/>
              <w:right w:w="100" w:type="dxa"/>
            </w:tcMar>
            <w:vAlign w:val="center"/>
          </w:tcPr>
          <w:p w:rsidR="00D22AE7" w:rsidRDefault="005A1FFD">
            <w:pPr>
              <w:jc w:val="center"/>
            </w:pPr>
            <w:r>
              <w:rPr>
                <w:b/>
                <w:bCs/>
                <w:color w:val="000000"/>
                <w:sz w:val="20"/>
                <w:szCs w:val="20"/>
              </w:rPr>
              <w:t>2</w:t>
            </w:r>
          </w:p>
        </w:tc>
        <w:tc>
          <w:tcPr>
            <w:tcW w:w="1000" w:type="dxa"/>
            <w:tcBorders>
              <w:top w:val="single" w:sz="6" w:space="0" w:color="B8C5D6"/>
              <w:left w:val="single" w:sz="6" w:space="0" w:color="B8C5D6"/>
              <w:bottom w:val="single" w:sz="6" w:space="0" w:color="B8C5D6"/>
              <w:right w:val="single" w:sz="6" w:space="0" w:color="B8C5D6"/>
            </w:tcBorders>
            <w:shd w:val="clear" w:color="auto" w:fill="FFFDE7"/>
            <w:tcMar>
              <w:top w:w="80" w:type="dxa"/>
              <w:left w:w="100" w:type="dxa"/>
              <w:bottom w:w="80" w:type="dxa"/>
              <w:right w:w="100" w:type="dxa"/>
            </w:tcMar>
            <w:vAlign w:val="center"/>
          </w:tcPr>
          <w:p w:rsidR="00D22AE7" w:rsidRDefault="005A1FFD">
            <w:r>
              <w:rPr>
                <w:b/>
                <w:bCs/>
                <w:color w:val="000000"/>
                <w:sz w:val="20"/>
                <w:szCs w:val="20"/>
              </w:rPr>
              <w:t>Fair</w:t>
            </w:r>
          </w:p>
        </w:tc>
        <w:tc>
          <w:tcPr>
            <w:tcW w:w="7460" w:type="dxa"/>
            <w:tcBorders>
              <w:top w:val="single" w:sz="6" w:space="0" w:color="B8C5D6"/>
              <w:left w:val="single" w:sz="6" w:space="0" w:color="B8C5D6"/>
              <w:bottom w:val="single" w:sz="6" w:space="0" w:color="B8C5D6"/>
              <w:right w:val="single" w:sz="6" w:space="0" w:color="B8C5D6"/>
            </w:tcBorders>
            <w:shd w:val="clear" w:color="auto" w:fill="FFFDE7"/>
            <w:tcMar>
              <w:top w:w="80" w:type="dxa"/>
              <w:left w:w="100" w:type="dxa"/>
              <w:bottom w:w="80" w:type="dxa"/>
              <w:right w:w="100" w:type="dxa"/>
            </w:tcMar>
          </w:tcPr>
          <w:p w:rsidR="00D22AE7" w:rsidRDefault="005A1FFD">
            <w:r>
              <w:rPr>
                <w:sz w:val="20"/>
                <w:szCs w:val="20"/>
              </w:rPr>
              <w:t>Capacity utilization 85–95%; limited headroom; engagement may require phased onboarding</w:t>
            </w:r>
          </w:p>
          <w:p w:rsidR="00D22AE7" w:rsidRDefault="005A1FFD">
            <w:r>
              <w:rPr>
                <w:sz w:val="20"/>
                <w:szCs w:val="20"/>
              </w:rPr>
              <w:t>Thin bench; key-person dependency risk is material</w:t>
            </w:r>
          </w:p>
          <w:p w:rsidR="00D22AE7" w:rsidRDefault="005A1FFD">
            <w:r>
              <w:rPr>
                <w:sz w:val="20"/>
                <w:szCs w:val="20"/>
              </w:rPr>
              <w:t>Limited scalability history; capacity increases require significant lead time</w:t>
            </w:r>
          </w:p>
          <w:p w:rsidR="00D22AE7" w:rsidRDefault="005A1FFD">
            <w:r>
              <w:rPr>
                <w:sz w:val="20"/>
                <w:szCs w:val="20"/>
              </w:rPr>
              <w:t>Partial geographic or operational gaps relative to engagement requirements</w:t>
            </w:r>
          </w:p>
        </w:tc>
      </w:tr>
      <w:tr w:rsidR="00D22AE7">
        <w:tblPrEx>
          <w:tblCellMar>
            <w:top w:w="0" w:type="dxa"/>
            <w:bottom w:w="0" w:type="dxa"/>
          </w:tblCellMar>
        </w:tblPrEx>
        <w:tc>
          <w:tcPr>
            <w:tcW w:w="900" w:type="dxa"/>
            <w:tcBorders>
              <w:top w:val="single" w:sz="6" w:space="0" w:color="B8C5D6"/>
              <w:left w:val="single" w:sz="6" w:space="0" w:color="B8C5D6"/>
              <w:bottom w:val="single" w:sz="6" w:space="0" w:color="B8C5D6"/>
              <w:right w:val="single" w:sz="6" w:space="0" w:color="B8C5D6"/>
            </w:tcBorders>
            <w:shd w:val="clear" w:color="auto" w:fill="FBE9E7"/>
            <w:tcMar>
              <w:top w:w="80" w:type="dxa"/>
              <w:left w:w="100" w:type="dxa"/>
              <w:bottom w:w="80" w:type="dxa"/>
              <w:right w:w="100" w:type="dxa"/>
            </w:tcMar>
            <w:vAlign w:val="center"/>
          </w:tcPr>
          <w:p w:rsidR="00D22AE7" w:rsidRDefault="005A1FFD">
            <w:pPr>
              <w:jc w:val="center"/>
            </w:pPr>
            <w:r>
              <w:rPr>
                <w:b/>
                <w:bCs/>
                <w:color w:val="000000"/>
                <w:sz w:val="20"/>
                <w:szCs w:val="20"/>
              </w:rPr>
              <w:t>1</w:t>
            </w:r>
          </w:p>
        </w:tc>
        <w:tc>
          <w:tcPr>
            <w:tcW w:w="1000" w:type="dxa"/>
            <w:tcBorders>
              <w:top w:val="single" w:sz="6" w:space="0" w:color="B8C5D6"/>
              <w:left w:val="single" w:sz="6" w:space="0" w:color="B8C5D6"/>
              <w:bottom w:val="single" w:sz="6" w:space="0" w:color="B8C5D6"/>
              <w:right w:val="single" w:sz="6" w:space="0" w:color="B8C5D6"/>
            </w:tcBorders>
            <w:shd w:val="clear" w:color="auto" w:fill="FBE9E7"/>
            <w:tcMar>
              <w:top w:w="80" w:type="dxa"/>
              <w:left w:w="100" w:type="dxa"/>
              <w:bottom w:w="80" w:type="dxa"/>
              <w:right w:w="100" w:type="dxa"/>
            </w:tcMar>
            <w:vAlign w:val="center"/>
          </w:tcPr>
          <w:p w:rsidR="00D22AE7" w:rsidRDefault="005A1FFD">
            <w:r>
              <w:rPr>
                <w:b/>
                <w:bCs/>
                <w:color w:val="000000"/>
                <w:sz w:val="20"/>
                <w:szCs w:val="20"/>
              </w:rPr>
              <w:t>Poor</w:t>
            </w:r>
          </w:p>
        </w:tc>
        <w:tc>
          <w:tcPr>
            <w:tcW w:w="7460" w:type="dxa"/>
            <w:tcBorders>
              <w:top w:val="single" w:sz="6" w:space="0" w:color="B8C5D6"/>
              <w:left w:val="single" w:sz="6" w:space="0" w:color="B8C5D6"/>
              <w:bottom w:val="single" w:sz="6" w:space="0" w:color="B8C5D6"/>
              <w:right w:val="single" w:sz="6" w:space="0" w:color="B8C5D6"/>
            </w:tcBorders>
            <w:shd w:val="clear" w:color="auto" w:fill="FBE9E7"/>
            <w:tcMar>
              <w:top w:w="80" w:type="dxa"/>
              <w:left w:w="100" w:type="dxa"/>
              <w:bottom w:w="80" w:type="dxa"/>
              <w:right w:w="100" w:type="dxa"/>
            </w:tcMar>
          </w:tcPr>
          <w:p w:rsidR="00D22AE7" w:rsidRDefault="005A1FFD">
            <w:r>
              <w:rPr>
                <w:sz w:val="20"/>
                <w:szCs w:val="20"/>
              </w:rPr>
              <w:t>Capacity utilization &gt; 95%; currently overextended across existing obligations</w:t>
            </w:r>
          </w:p>
          <w:p w:rsidR="00D22AE7" w:rsidRDefault="005A1FFD">
            <w:r>
              <w:rPr>
                <w:sz w:val="20"/>
                <w:szCs w:val="20"/>
              </w:rPr>
              <w:t>No bench strength; single points of failure in key roles</w:t>
            </w:r>
          </w:p>
          <w:p w:rsidR="00D22AE7" w:rsidRDefault="005A1FFD">
            <w:r>
              <w:rPr>
                <w:sz w:val="20"/>
                <w:szCs w:val="20"/>
              </w:rPr>
              <w:t>No demonstrated scalability; prior engagements affected by capacity constraints</w:t>
            </w:r>
          </w:p>
          <w:p w:rsidR="00D22AE7" w:rsidRDefault="005A1FFD">
            <w:r>
              <w:rPr>
                <w:sz w:val="20"/>
                <w:szCs w:val="20"/>
              </w:rPr>
              <w:t xml:space="preserve">Significant operational gaps; unable to </w:t>
            </w:r>
            <w:r>
              <w:rPr>
                <w:sz w:val="20"/>
                <w:szCs w:val="20"/>
              </w:rPr>
              <w:t>meet engagement scope requirements as proposed</w:t>
            </w:r>
          </w:p>
        </w:tc>
      </w:tr>
    </w:tbl>
    <w:p w:rsidR="00D22AE7" w:rsidRDefault="00D22AE7">
      <w:pPr>
        <w:spacing w:before="120" w:after="0"/>
      </w:pPr>
    </w:p>
    <w:p w:rsidR="00D22AE7" w:rsidRDefault="005A1FFD">
      <w:pPr>
        <w:spacing w:before="220" w:after="100"/>
      </w:pPr>
      <w:r>
        <w:rPr>
          <w:b/>
          <w:bCs/>
          <w:color w:val="1B3A6B"/>
          <w:sz w:val="24"/>
          <w:szCs w:val="24"/>
        </w:rPr>
        <w:t>C5. Compliance Record   (5% weight)</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
        <w:gridCol w:w="1079"/>
        <w:gridCol w:w="7460"/>
      </w:tblGrid>
      <w:tr w:rsidR="00D22AE7">
        <w:tblPrEx>
          <w:tblCellMar>
            <w:top w:w="0" w:type="dxa"/>
            <w:bottom w:w="0" w:type="dxa"/>
          </w:tblCellMar>
        </w:tblPrEx>
        <w:trPr>
          <w:tblHeader/>
        </w:trPr>
        <w:tc>
          <w:tcPr>
            <w:tcW w:w="900" w:type="dxa"/>
            <w:tcBorders>
              <w:top w:val="single" w:sz="6" w:space="0" w:color="B8C5D6"/>
              <w:left w:val="single" w:sz="6" w:space="0" w:color="B8C5D6"/>
              <w:bottom w:val="single" w:sz="6" w:space="0" w:color="B8C5D6"/>
              <w:right w:val="single" w:sz="6" w:space="0" w:color="B8C5D6"/>
            </w:tcBorders>
            <w:shd w:val="clear" w:color="auto" w:fill="2E5C9E"/>
            <w:tcMar>
              <w:top w:w="100" w:type="dxa"/>
              <w:left w:w="100" w:type="dxa"/>
              <w:bottom w:w="100" w:type="dxa"/>
              <w:right w:w="100" w:type="dxa"/>
            </w:tcMar>
            <w:vAlign w:val="center"/>
          </w:tcPr>
          <w:p w:rsidR="00D22AE7" w:rsidRDefault="005A1FFD">
            <w:pPr>
              <w:jc w:val="center"/>
            </w:pPr>
            <w:r>
              <w:rPr>
                <w:b/>
                <w:bCs/>
                <w:color w:val="FFFFFF"/>
                <w:sz w:val="20"/>
                <w:szCs w:val="20"/>
              </w:rPr>
              <w:lastRenderedPageBreak/>
              <w:t>Score</w:t>
            </w:r>
          </w:p>
        </w:tc>
        <w:tc>
          <w:tcPr>
            <w:tcW w:w="1000" w:type="dxa"/>
            <w:tcBorders>
              <w:top w:val="single" w:sz="6" w:space="0" w:color="B8C5D6"/>
              <w:left w:val="single" w:sz="6" w:space="0" w:color="B8C5D6"/>
              <w:bottom w:val="single" w:sz="6" w:space="0" w:color="B8C5D6"/>
              <w:right w:val="single" w:sz="6" w:space="0" w:color="B8C5D6"/>
            </w:tcBorders>
            <w:shd w:val="clear" w:color="auto" w:fill="2E5C9E"/>
            <w:tcMar>
              <w:top w:w="100" w:type="dxa"/>
              <w:left w:w="100" w:type="dxa"/>
              <w:bottom w:w="100" w:type="dxa"/>
              <w:right w:w="100" w:type="dxa"/>
            </w:tcMar>
            <w:vAlign w:val="center"/>
          </w:tcPr>
          <w:p w:rsidR="00D22AE7" w:rsidRDefault="005A1FFD">
            <w:pPr>
              <w:jc w:val="center"/>
            </w:pPr>
            <w:r>
              <w:rPr>
                <w:b/>
                <w:bCs/>
                <w:color w:val="FFFFFF"/>
                <w:sz w:val="20"/>
                <w:szCs w:val="20"/>
              </w:rPr>
              <w:t>Level</w:t>
            </w:r>
          </w:p>
        </w:tc>
        <w:tc>
          <w:tcPr>
            <w:tcW w:w="7460" w:type="dxa"/>
            <w:tcBorders>
              <w:top w:val="single" w:sz="6" w:space="0" w:color="B8C5D6"/>
              <w:left w:val="single" w:sz="6" w:space="0" w:color="B8C5D6"/>
              <w:bottom w:val="single" w:sz="6" w:space="0" w:color="B8C5D6"/>
              <w:right w:val="single" w:sz="6" w:space="0" w:color="B8C5D6"/>
            </w:tcBorders>
            <w:shd w:val="clear" w:color="auto" w:fill="2E5C9E"/>
            <w:tcMar>
              <w:top w:w="100" w:type="dxa"/>
              <w:left w:w="100" w:type="dxa"/>
              <w:bottom w:w="100" w:type="dxa"/>
              <w:right w:w="100" w:type="dxa"/>
            </w:tcMar>
            <w:vAlign w:val="center"/>
          </w:tcPr>
          <w:p w:rsidR="00D22AE7" w:rsidRDefault="005A1FFD">
            <w:pPr>
              <w:jc w:val="center"/>
            </w:pPr>
            <w:r>
              <w:rPr>
                <w:b/>
                <w:bCs/>
                <w:color w:val="FFFFFF"/>
                <w:sz w:val="20"/>
                <w:szCs w:val="20"/>
              </w:rPr>
              <w:t>Criteria</w:t>
            </w:r>
          </w:p>
        </w:tc>
      </w:tr>
      <w:tr w:rsidR="00D22AE7">
        <w:tblPrEx>
          <w:tblCellMar>
            <w:top w:w="0" w:type="dxa"/>
            <w:bottom w:w="0" w:type="dxa"/>
          </w:tblCellMar>
        </w:tblPrEx>
        <w:tc>
          <w:tcPr>
            <w:tcW w:w="900" w:type="dxa"/>
            <w:tcBorders>
              <w:top w:val="single" w:sz="6" w:space="0" w:color="B8C5D6"/>
              <w:left w:val="single" w:sz="6" w:space="0" w:color="B8C5D6"/>
              <w:bottom w:val="single" w:sz="6" w:space="0" w:color="B8C5D6"/>
              <w:right w:val="single" w:sz="6" w:space="0" w:color="B8C5D6"/>
            </w:tcBorders>
            <w:shd w:val="clear" w:color="auto" w:fill="E8F5E9"/>
            <w:tcMar>
              <w:top w:w="80" w:type="dxa"/>
              <w:left w:w="100" w:type="dxa"/>
              <w:bottom w:w="80" w:type="dxa"/>
              <w:right w:w="100" w:type="dxa"/>
            </w:tcMar>
            <w:vAlign w:val="center"/>
          </w:tcPr>
          <w:p w:rsidR="00D22AE7" w:rsidRDefault="005A1FFD">
            <w:pPr>
              <w:jc w:val="center"/>
            </w:pPr>
            <w:r>
              <w:rPr>
                <w:b/>
                <w:bCs/>
                <w:color w:val="000000"/>
                <w:sz w:val="20"/>
                <w:szCs w:val="20"/>
              </w:rPr>
              <w:t>4</w:t>
            </w:r>
          </w:p>
        </w:tc>
        <w:tc>
          <w:tcPr>
            <w:tcW w:w="1000" w:type="dxa"/>
            <w:tcBorders>
              <w:top w:val="single" w:sz="6" w:space="0" w:color="B8C5D6"/>
              <w:left w:val="single" w:sz="6" w:space="0" w:color="B8C5D6"/>
              <w:bottom w:val="single" w:sz="6" w:space="0" w:color="B8C5D6"/>
              <w:right w:val="single" w:sz="6" w:space="0" w:color="B8C5D6"/>
            </w:tcBorders>
            <w:shd w:val="clear" w:color="auto" w:fill="E8F5E9"/>
            <w:tcMar>
              <w:top w:w="80" w:type="dxa"/>
              <w:left w:w="100" w:type="dxa"/>
              <w:bottom w:w="80" w:type="dxa"/>
              <w:right w:w="100" w:type="dxa"/>
            </w:tcMar>
            <w:vAlign w:val="center"/>
          </w:tcPr>
          <w:p w:rsidR="00D22AE7" w:rsidRDefault="005A1FFD">
            <w:r>
              <w:rPr>
                <w:b/>
                <w:bCs/>
                <w:color w:val="000000"/>
                <w:sz w:val="20"/>
                <w:szCs w:val="20"/>
              </w:rPr>
              <w:t>Excellent</w:t>
            </w:r>
          </w:p>
        </w:tc>
        <w:tc>
          <w:tcPr>
            <w:tcW w:w="7460" w:type="dxa"/>
            <w:tcBorders>
              <w:top w:val="single" w:sz="6" w:space="0" w:color="B8C5D6"/>
              <w:left w:val="single" w:sz="6" w:space="0" w:color="B8C5D6"/>
              <w:bottom w:val="single" w:sz="6" w:space="0" w:color="B8C5D6"/>
              <w:right w:val="single" w:sz="6" w:space="0" w:color="B8C5D6"/>
            </w:tcBorders>
            <w:shd w:val="clear" w:color="auto" w:fill="E8F5E9"/>
            <w:tcMar>
              <w:top w:w="80" w:type="dxa"/>
              <w:left w:w="100" w:type="dxa"/>
              <w:bottom w:w="80" w:type="dxa"/>
              <w:right w:w="100" w:type="dxa"/>
            </w:tcMar>
          </w:tcPr>
          <w:p w:rsidR="00D22AE7" w:rsidRDefault="005A1FFD">
            <w:r>
              <w:rPr>
                <w:sz w:val="20"/>
                <w:szCs w:val="20"/>
              </w:rPr>
              <w:t>Zero material regulatory, contractual, or legal violations in the past 5 years</w:t>
            </w:r>
          </w:p>
          <w:p w:rsidR="00D22AE7" w:rsidRDefault="005A1FFD">
            <w:r>
              <w:rPr>
                <w:sz w:val="20"/>
                <w:szCs w:val="20"/>
              </w:rPr>
              <w:t>Proactive, enterprise-wide compliance program with documented policies and controls</w:t>
            </w:r>
          </w:p>
          <w:p w:rsidR="00D22AE7" w:rsidRDefault="005A1FFD">
            <w:r>
              <w:rPr>
                <w:sz w:val="20"/>
                <w:szCs w:val="20"/>
              </w:rPr>
              <w:t>Third-party audits or certifications (ISO, SOC, industry-specific) confirming compliance post</w:t>
            </w:r>
            <w:r>
              <w:rPr>
                <w:sz w:val="20"/>
                <w:szCs w:val="20"/>
              </w:rPr>
              <w:t>ure</w:t>
            </w:r>
          </w:p>
          <w:p w:rsidR="00D22AE7" w:rsidRDefault="005A1FFD">
            <w:r>
              <w:rPr>
                <w:sz w:val="20"/>
                <w:szCs w:val="20"/>
              </w:rPr>
              <w:t>Dedicated compliance officer or function; regular training and review cycles</w:t>
            </w:r>
          </w:p>
        </w:tc>
      </w:tr>
      <w:tr w:rsidR="00D22AE7">
        <w:tblPrEx>
          <w:tblCellMar>
            <w:top w:w="0" w:type="dxa"/>
            <w:bottom w:w="0" w:type="dxa"/>
          </w:tblCellMar>
        </w:tblPrEx>
        <w:tc>
          <w:tcPr>
            <w:tcW w:w="900" w:type="dxa"/>
            <w:tcBorders>
              <w:top w:val="single" w:sz="6" w:space="0" w:color="B8C5D6"/>
              <w:left w:val="single" w:sz="6" w:space="0" w:color="B8C5D6"/>
              <w:bottom w:val="single" w:sz="6" w:space="0" w:color="B8C5D6"/>
              <w:right w:val="single" w:sz="6" w:space="0" w:color="B8C5D6"/>
            </w:tcBorders>
            <w:shd w:val="clear" w:color="auto" w:fill="F1F8E9"/>
            <w:tcMar>
              <w:top w:w="80" w:type="dxa"/>
              <w:left w:w="100" w:type="dxa"/>
              <w:bottom w:w="80" w:type="dxa"/>
              <w:right w:w="100" w:type="dxa"/>
            </w:tcMar>
            <w:vAlign w:val="center"/>
          </w:tcPr>
          <w:p w:rsidR="00D22AE7" w:rsidRDefault="005A1FFD">
            <w:pPr>
              <w:jc w:val="center"/>
            </w:pPr>
            <w:r>
              <w:rPr>
                <w:b/>
                <w:bCs/>
                <w:color w:val="000000"/>
                <w:sz w:val="20"/>
                <w:szCs w:val="20"/>
              </w:rPr>
              <w:t>3</w:t>
            </w:r>
          </w:p>
        </w:tc>
        <w:tc>
          <w:tcPr>
            <w:tcW w:w="1000" w:type="dxa"/>
            <w:tcBorders>
              <w:top w:val="single" w:sz="6" w:space="0" w:color="B8C5D6"/>
              <w:left w:val="single" w:sz="6" w:space="0" w:color="B8C5D6"/>
              <w:bottom w:val="single" w:sz="6" w:space="0" w:color="B8C5D6"/>
              <w:right w:val="single" w:sz="6" w:space="0" w:color="B8C5D6"/>
            </w:tcBorders>
            <w:shd w:val="clear" w:color="auto" w:fill="F1F8E9"/>
            <w:tcMar>
              <w:top w:w="80" w:type="dxa"/>
              <w:left w:w="100" w:type="dxa"/>
              <w:bottom w:w="80" w:type="dxa"/>
              <w:right w:w="100" w:type="dxa"/>
            </w:tcMar>
            <w:vAlign w:val="center"/>
          </w:tcPr>
          <w:p w:rsidR="00D22AE7" w:rsidRDefault="005A1FFD">
            <w:r>
              <w:rPr>
                <w:b/>
                <w:bCs/>
                <w:color w:val="000000"/>
                <w:sz w:val="20"/>
                <w:szCs w:val="20"/>
              </w:rPr>
              <w:t>Good</w:t>
            </w:r>
          </w:p>
        </w:tc>
        <w:tc>
          <w:tcPr>
            <w:tcW w:w="7460" w:type="dxa"/>
            <w:tcBorders>
              <w:top w:val="single" w:sz="6" w:space="0" w:color="B8C5D6"/>
              <w:left w:val="single" w:sz="6" w:space="0" w:color="B8C5D6"/>
              <w:bottom w:val="single" w:sz="6" w:space="0" w:color="B8C5D6"/>
              <w:right w:val="single" w:sz="6" w:space="0" w:color="B8C5D6"/>
            </w:tcBorders>
            <w:shd w:val="clear" w:color="auto" w:fill="F1F8E9"/>
            <w:tcMar>
              <w:top w:w="80" w:type="dxa"/>
              <w:left w:w="100" w:type="dxa"/>
              <w:bottom w:w="80" w:type="dxa"/>
              <w:right w:w="100" w:type="dxa"/>
            </w:tcMar>
          </w:tcPr>
          <w:p w:rsidR="00D22AE7" w:rsidRDefault="005A1FFD">
            <w:r>
              <w:rPr>
                <w:sz w:val="20"/>
                <w:szCs w:val="20"/>
              </w:rPr>
              <w:t>Minor violations only (administrative, non-willful); all resolved without ongoing obligation</w:t>
            </w:r>
          </w:p>
          <w:p w:rsidR="00D22AE7" w:rsidRDefault="005A1FFD">
            <w:r>
              <w:rPr>
                <w:sz w:val="20"/>
                <w:szCs w:val="20"/>
              </w:rPr>
              <w:t>Documented compliance program; regular employee training conducted</w:t>
            </w:r>
          </w:p>
          <w:p w:rsidR="00D22AE7" w:rsidRDefault="005A1FFD">
            <w:r>
              <w:rPr>
                <w:sz w:val="20"/>
                <w:szCs w:val="20"/>
              </w:rPr>
              <w:t>Responsive to regulatory inquiries; no open enforcement actions</w:t>
            </w:r>
          </w:p>
        </w:tc>
      </w:tr>
      <w:tr w:rsidR="00D22AE7">
        <w:tblPrEx>
          <w:tblCellMar>
            <w:top w:w="0" w:type="dxa"/>
            <w:bottom w:w="0" w:type="dxa"/>
          </w:tblCellMar>
        </w:tblPrEx>
        <w:tc>
          <w:tcPr>
            <w:tcW w:w="900" w:type="dxa"/>
            <w:tcBorders>
              <w:top w:val="single" w:sz="6" w:space="0" w:color="B8C5D6"/>
              <w:left w:val="single" w:sz="6" w:space="0" w:color="B8C5D6"/>
              <w:bottom w:val="single" w:sz="6" w:space="0" w:color="B8C5D6"/>
              <w:right w:val="single" w:sz="6" w:space="0" w:color="B8C5D6"/>
            </w:tcBorders>
            <w:shd w:val="clear" w:color="auto" w:fill="FFFDE7"/>
            <w:tcMar>
              <w:top w:w="80" w:type="dxa"/>
              <w:left w:w="100" w:type="dxa"/>
              <w:bottom w:w="80" w:type="dxa"/>
              <w:right w:w="100" w:type="dxa"/>
            </w:tcMar>
            <w:vAlign w:val="center"/>
          </w:tcPr>
          <w:p w:rsidR="00D22AE7" w:rsidRDefault="005A1FFD">
            <w:pPr>
              <w:jc w:val="center"/>
            </w:pPr>
            <w:r>
              <w:rPr>
                <w:b/>
                <w:bCs/>
                <w:color w:val="000000"/>
                <w:sz w:val="20"/>
                <w:szCs w:val="20"/>
              </w:rPr>
              <w:t>2</w:t>
            </w:r>
          </w:p>
        </w:tc>
        <w:tc>
          <w:tcPr>
            <w:tcW w:w="1000" w:type="dxa"/>
            <w:tcBorders>
              <w:top w:val="single" w:sz="6" w:space="0" w:color="B8C5D6"/>
              <w:left w:val="single" w:sz="6" w:space="0" w:color="B8C5D6"/>
              <w:bottom w:val="single" w:sz="6" w:space="0" w:color="B8C5D6"/>
              <w:right w:val="single" w:sz="6" w:space="0" w:color="B8C5D6"/>
            </w:tcBorders>
            <w:shd w:val="clear" w:color="auto" w:fill="FFFDE7"/>
            <w:tcMar>
              <w:top w:w="80" w:type="dxa"/>
              <w:left w:w="100" w:type="dxa"/>
              <w:bottom w:w="80" w:type="dxa"/>
              <w:right w:w="100" w:type="dxa"/>
            </w:tcMar>
            <w:vAlign w:val="center"/>
          </w:tcPr>
          <w:p w:rsidR="00D22AE7" w:rsidRDefault="005A1FFD">
            <w:r>
              <w:rPr>
                <w:b/>
                <w:bCs/>
                <w:color w:val="000000"/>
                <w:sz w:val="20"/>
                <w:szCs w:val="20"/>
              </w:rPr>
              <w:t>Fair</w:t>
            </w:r>
          </w:p>
        </w:tc>
        <w:tc>
          <w:tcPr>
            <w:tcW w:w="7460" w:type="dxa"/>
            <w:tcBorders>
              <w:top w:val="single" w:sz="6" w:space="0" w:color="B8C5D6"/>
              <w:left w:val="single" w:sz="6" w:space="0" w:color="B8C5D6"/>
              <w:bottom w:val="single" w:sz="6" w:space="0" w:color="B8C5D6"/>
              <w:right w:val="single" w:sz="6" w:space="0" w:color="B8C5D6"/>
            </w:tcBorders>
            <w:shd w:val="clear" w:color="auto" w:fill="FFFDE7"/>
            <w:tcMar>
              <w:top w:w="80" w:type="dxa"/>
              <w:left w:w="100" w:type="dxa"/>
              <w:bottom w:w="80" w:type="dxa"/>
              <w:right w:w="100" w:type="dxa"/>
            </w:tcMar>
          </w:tcPr>
          <w:p w:rsidR="00D22AE7" w:rsidRDefault="005A1FFD">
            <w:r>
              <w:rPr>
                <w:sz w:val="20"/>
                <w:szCs w:val="20"/>
              </w:rPr>
              <w:t>Some violations with partial remediation underway; consent orders or corrective action plans active</w:t>
            </w:r>
          </w:p>
          <w:p w:rsidR="00D22AE7" w:rsidRDefault="005A1FFD">
            <w:r>
              <w:rPr>
                <w:sz w:val="20"/>
                <w:szCs w:val="20"/>
              </w:rPr>
              <w:t>Basic compliance policies exist but inconsistently applied</w:t>
            </w:r>
          </w:p>
          <w:p w:rsidR="00D22AE7" w:rsidRDefault="005A1FFD">
            <w:r>
              <w:rPr>
                <w:sz w:val="20"/>
                <w:szCs w:val="20"/>
              </w:rPr>
              <w:t>No independent certification; limited audit trail</w:t>
            </w:r>
          </w:p>
        </w:tc>
      </w:tr>
      <w:tr w:rsidR="00D22AE7">
        <w:tblPrEx>
          <w:tblCellMar>
            <w:top w:w="0" w:type="dxa"/>
            <w:bottom w:w="0" w:type="dxa"/>
          </w:tblCellMar>
        </w:tblPrEx>
        <w:tc>
          <w:tcPr>
            <w:tcW w:w="900" w:type="dxa"/>
            <w:tcBorders>
              <w:top w:val="single" w:sz="6" w:space="0" w:color="B8C5D6"/>
              <w:left w:val="single" w:sz="6" w:space="0" w:color="B8C5D6"/>
              <w:bottom w:val="single" w:sz="6" w:space="0" w:color="B8C5D6"/>
              <w:right w:val="single" w:sz="6" w:space="0" w:color="B8C5D6"/>
            </w:tcBorders>
            <w:shd w:val="clear" w:color="auto" w:fill="FBE9E7"/>
            <w:tcMar>
              <w:top w:w="80" w:type="dxa"/>
              <w:left w:w="100" w:type="dxa"/>
              <w:bottom w:w="80" w:type="dxa"/>
              <w:right w:w="100" w:type="dxa"/>
            </w:tcMar>
            <w:vAlign w:val="center"/>
          </w:tcPr>
          <w:p w:rsidR="00D22AE7" w:rsidRDefault="005A1FFD">
            <w:pPr>
              <w:jc w:val="center"/>
            </w:pPr>
            <w:r>
              <w:rPr>
                <w:b/>
                <w:bCs/>
                <w:color w:val="000000"/>
                <w:sz w:val="20"/>
                <w:szCs w:val="20"/>
              </w:rPr>
              <w:t>1</w:t>
            </w:r>
          </w:p>
        </w:tc>
        <w:tc>
          <w:tcPr>
            <w:tcW w:w="1000" w:type="dxa"/>
            <w:tcBorders>
              <w:top w:val="single" w:sz="6" w:space="0" w:color="B8C5D6"/>
              <w:left w:val="single" w:sz="6" w:space="0" w:color="B8C5D6"/>
              <w:bottom w:val="single" w:sz="6" w:space="0" w:color="B8C5D6"/>
              <w:right w:val="single" w:sz="6" w:space="0" w:color="B8C5D6"/>
            </w:tcBorders>
            <w:shd w:val="clear" w:color="auto" w:fill="FBE9E7"/>
            <w:tcMar>
              <w:top w:w="80" w:type="dxa"/>
              <w:left w:w="100" w:type="dxa"/>
              <w:bottom w:w="80" w:type="dxa"/>
              <w:right w:w="100" w:type="dxa"/>
            </w:tcMar>
            <w:vAlign w:val="center"/>
          </w:tcPr>
          <w:p w:rsidR="00D22AE7" w:rsidRDefault="005A1FFD">
            <w:r>
              <w:rPr>
                <w:b/>
                <w:bCs/>
                <w:color w:val="000000"/>
                <w:sz w:val="20"/>
                <w:szCs w:val="20"/>
              </w:rPr>
              <w:t>Poor</w:t>
            </w:r>
          </w:p>
        </w:tc>
        <w:tc>
          <w:tcPr>
            <w:tcW w:w="7460" w:type="dxa"/>
            <w:tcBorders>
              <w:top w:val="single" w:sz="6" w:space="0" w:color="B8C5D6"/>
              <w:left w:val="single" w:sz="6" w:space="0" w:color="B8C5D6"/>
              <w:bottom w:val="single" w:sz="6" w:space="0" w:color="B8C5D6"/>
              <w:right w:val="single" w:sz="6" w:space="0" w:color="B8C5D6"/>
            </w:tcBorders>
            <w:shd w:val="clear" w:color="auto" w:fill="FBE9E7"/>
            <w:tcMar>
              <w:top w:w="80" w:type="dxa"/>
              <w:left w:w="100" w:type="dxa"/>
              <w:bottom w:w="80" w:type="dxa"/>
              <w:right w:w="100" w:type="dxa"/>
            </w:tcMar>
          </w:tcPr>
          <w:p w:rsidR="00D22AE7" w:rsidRDefault="005A1FFD">
            <w:r>
              <w:rPr>
                <w:sz w:val="20"/>
                <w:szCs w:val="20"/>
              </w:rPr>
              <w:t>Significant unresolved violations; active enforcement actions or investigations</w:t>
            </w:r>
          </w:p>
          <w:p w:rsidR="00D22AE7" w:rsidRDefault="005A1FFD">
            <w:r>
              <w:rPr>
                <w:sz w:val="20"/>
                <w:szCs w:val="20"/>
              </w:rPr>
              <w:t>No formal compliance program; policies absent or unenforced</w:t>
            </w:r>
          </w:p>
          <w:p w:rsidR="00D22AE7" w:rsidRDefault="005A1FFD">
            <w:r>
              <w:rPr>
                <w:sz w:val="20"/>
                <w:szCs w:val="20"/>
              </w:rPr>
              <w:t>Pattern of recurring violations; no demonstrable improvement trajectory</w:t>
            </w:r>
          </w:p>
        </w:tc>
      </w:tr>
    </w:tbl>
    <w:p w:rsidR="00D22AE7" w:rsidRDefault="00D22AE7">
      <w:pPr>
        <w:spacing w:before="120" w:after="0"/>
      </w:pPr>
    </w:p>
    <w:p w:rsidR="00D22AE7" w:rsidRDefault="005A1FFD">
      <w:pPr>
        <w:spacing w:before="220" w:after="100"/>
      </w:pPr>
      <w:r>
        <w:rPr>
          <w:b/>
          <w:bCs/>
          <w:color w:val="1B3A6B"/>
          <w:sz w:val="24"/>
          <w:szCs w:val="24"/>
        </w:rPr>
        <w:t>C6. Technology Capabilities   (5% weight)</w:t>
      </w:r>
    </w:p>
    <w:tbl>
      <w:tblPr>
        <w:tblW w:w="10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
        <w:gridCol w:w="1079"/>
        <w:gridCol w:w="7460"/>
      </w:tblGrid>
      <w:tr w:rsidR="00D22AE7">
        <w:tblPrEx>
          <w:tblCellMar>
            <w:top w:w="0" w:type="dxa"/>
            <w:bottom w:w="0" w:type="dxa"/>
          </w:tblCellMar>
        </w:tblPrEx>
        <w:trPr>
          <w:tblHeader/>
        </w:trPr>
        <w:tc>
          <w:tcPr>
            <w:tcW w:w="900" w:type="dxa"/>
            <w:tcBorders>
              <w:top w:val="single" w:sz="6" w:space="0" w:color="B8C5D6"/>
              <w:left w:val="single" w:sz="6" w:space="0" w:color="B8C5D6"/>
              <w:bottom w:val="single" w:sz="6" w:space="0" w:color="B8C5D6"/>
              <w:right w:val="single" w:sz="6" w:space="0" w:color="B8C5D6"/>
            </w:tcBorders>
            <w:shd w:val="clear" w:color="auto" w:fill="2E5C9E"/>
            <w:tcMar>
              <w:top w:w="100" w:type="dxa"/>
              <w:left w:w="100" w:type="dxa"/>
              <w:bottom w:w="100" w:type="dxa"/>
              <w:right w:w="100" w:type="dxa"/>
            </w:tcMar>
            <w:vAlign w:val="center"/>
          </w:tcPr>
          <w:p w:rsidR="00D22AE7" w:rsidRDefault="005A1FFD">
            <w:pPr>
              <w:jc w:val="center"/>
            </w:pPr>
            <w:r>
              <w:rPr>
                <w:b/>
                <w:bCs/>
                <w:color w:val="FFFFFF"/>
                <w:sz w:val="20"/>
                <w:szCs w:val="20"/>
              </w:rPr>
              <w:t>Score</w:t>
            </w:r>
          </w:p>
        </w:tc>
        <w:tc>
          <w:tcPr>
            <w:tcW w:w="1000" w:type="dxa"/>
            <w:tcBorders>
              <w:top w:val="single" w:sz="6" w:space="0" w:color="B8C5D6"/>
              <w:left w:val="single" w:sz="6" w:space="0" w:color="B8C5D6"/>
              <w:bottom w:val="single" w:sz="6" w:space="0" w:color="B8C5D6"/>
              <w:right w:val="single" w:sz="6" w:space="0" w:color="B8C5D6"/>
            </w:tcBorders>
            <w:shd w:val="clear" w:color="auto" w:fill="2E5C9E"/>
            <w:tcMar>
              <w:top w:w="100" w:type="dxa"/>
              <w:left w:w="100" w:type="dxa"/>
              <w:bottom w:w="100" w:type="dxa"/>
              <w:right w:w="100" w:type="dxa"/>
            </w:tcMar>
            <w:vAlign w:val="center"/>
          </w:tcPr>
          <w:p w:rsidR="00D22AE7" w:rsidRDefault="005A1FFD">
            <w:pPr>
              <w:jc w:val="center"/>
            </w:pPr>
            <w:r>
              <w:rPr>
                <w:b/>
                <w:bCs/>
                <w:color w:val="FFFFFF"/>
                <w:sz w:val="20"/>
                <w:szCs w:val="20"/>
              </w:rPr>
              <w:t>Level</w:t>
            </w:r>
          </w:p>
        </w:tc>
        <w:tc>
          <w:tcPr>
            <w:tcW w:w="7460" w:type="dxa"/>
            <w:tcBorders>
              <w:top w:val="single" w:sz="6" w:space="0" w:color="B8C5D6"/>
              <w:left w:val="single" w:sz="6" w:space="0" w:color="B8C5D6"/>
              <w:bottom w:val="single" w:sz="6" w:space="0" w:color="B8C5D6"/>
              <w:right w:val="single" w:sz="6" w:space="0" w:color="B8C5D6"/>
            </w:tcBorders>
            <w:shd w:val="clear" w:color="auto" w:fill="2E5C9E"/>
            <w:tcMar>
              <w:top w:w="100" w:type="dxa"/>
              <w:left w:w="100" w:type="dxa"/>
              <w:bottom w:w="100" w:type="dxa"/>
              <w:right w:w="100" w:type="dxa"/>
            </w:tcMar>
            <w:vAlign w:val="center"/>
          </w:tcPr>
          <w:p w:rsidR="00D22AE7" w:rsidRDefault="005A1FFD">
            <w:pPr>
              <w:jc w:val="center"/>
            </w:pPr>
            <w:r>
              <w:rPr>
                <w:b/>
                <w:bCs/>
                <w:color w:val="FFFFFF"/>
                <w:sz w:val="20"/>
                <w:szCs w:val="20"/>
              </w:rPr>
              <w:t>Criteria</w:t>
            </w:r>
          </w:p>
        </w:tc>
      </w:tr>
      <w:tr w:rsidR="00D22AE7">
        <w:tblPrEx>
          <w:tblCellMar>
            <w:top w:w="0" w:type="dxa"/>
            <w:bottom w:w="0" w:type="dxa"/>
          </w:tblCellMar>
        </w:tblPrEx>
        <w:tc>
          <w:tcPr>
            <w:tcW w:w="900" w:type="dxa"/>
            <w:tcBorders>
              <w:top w:val="single" w:sz="6" w:space="0" w:color="B8C5D6"/>
              <w:left w:val="single" w:sz="6" w:space="0" w:color="B8C5D6"/>
              <w:bottom w:val="single" w:sz="6" w:space="0" w:color="B8C5D6"/>
              <w:right w:val="single" w:sz="6" w:space="0" w:color="B8C5D6"/>
            </w:tcBorders>
            <w:shd w:val="clear" w:color="auto" w:fill="E8F5E9"/>
            <w:tcMar>
              <w:top w:w="80" w:type="dxa"/>
              <w:left w:w="100" w:type="dxa"/>
              <w:bottom w:w="80" w:type="dxa"/>
              <w:right w:w="100" w:type="dxa"/>
            </w:tcMar>
            <w:vAlign w:val="center"/>
          </w:tcPr>
          <w:p w:rsidR="00D22AE7" w:rsidRDefault="005A1FFD">
            <w:pPr>
              <w:jc w:val="center"/>
            </w:pPr>
            <w:r>
              <w:rPr>
                <w:b/>
                <w:bCs/>
                <w:color w:val="000000"/>
                <w:sz w:val="20"/>
                <w:szCs w:val="20"/>
              </w:rPr>
              <w:t>4</w:t>
            </w:r>
          </w:p>
        </w:tc>
        <w:tc>
          <w:tcPr>
            <w:tcW w:w="1000" w:type="dxa"/>
            <w:tcBorders>
              <w:top w:val="single" w:sz="6" w:space="0" w:color="B8C5D6"/>
              <w:left w:val="single" w:sz="6" w:space="0" w:color="B8C5D6"/>
              <w:bottom w:val="single" w:sz="6" w:space="0" w:color="B8C5D6"/>
              <w:right w:val="single" w:sz="6" w:space="0" w:color="B8C5D6"/>
            </w:tcBorders>
            <w:shd w:val="clear" w:color="auto" w:fill="E8F5E9"/>
            <w:tcMar>
              <w:top w:w="80" w:type="dxa"/>
              <w:left w:w="100" w:type="dxa"/>
              <w:bottom w:w="80" w:type="dxa"/>
              <w:right w:w="100" w:type="dxa"/>
            </w:tcMar>
            <w:vAlign w:val="center"/>
          </w:tcPr>
          <w:p w:rsidR="00D22AE7" w:rsidRDefault="005A1FFD">
            <w:r>
              <w:rPr>
                <w:b/>
                <w:bCs/>
                <w:color w:val="000000"/>
                <w:sz w:val="20"/>
                <w:szCs w:val="20"/>
              </w:rPr>
              <w:t>Excellent</w:t>
            </w:r>
          </w:p>
        </w:tc>
        <w:tc>
          <w:tcPr>
            <w:tcW w:w="7460" w:type="dxa"/>
            <w:tcBorders>
              <w:top w:val="single" w:sz="6" w:space="0" w:color="B8C5D6"/>
              <w:left w:val="single" w:sz="6" w:space="0" w:color="B8C5D6"/>
              <w:bottom w:val="single" w:sz="6" w:space="0" w:color="B8C5D6"/>
              <w:right w:val="single" w:sz="6" w:space="0" w:color="B8C5D6"/>
            </w:tcBorders>
            <w:shd w:val="clear" w:color="auto" w:fill="E8F5E9"/>
            <w:tcMar>
              <w:top w:w="80" w:type="dxa"/>
              <w:left w:w="100" w:type="dxa"/>
              <w:bottom w:w="80" w:type="dxa"/>
              <w:right w:w="100" w:type="dxa"/>
            </w:tcMar>
          </w:tcPr>
          <w:p w:rsidR="00D22AE7" w:rsidRDefault="005A1FFD">
            <w:r>
              <w:rPr>
                <w:sz w:val="20"/>
                <w:szCs w:val="20"/>
              </w:rPr>
              <w:t>Proficiency with industry-standard tools and platforms relevant to engagement type (e.g., ERP systems, cloud platforms, field management software)</w:t>
            </w:r>
          </w:p>
          <w:p w:rsidR="00D22AE7" w:rsidRDefault="005A1FFD">
            <w:r>
              <w:rPr>
                <w:sz w:val="20"/>
                <w:szCs w:val="20"/>
              </w:rPr>
              <w:t>Demonstrated integration capabilities with client systems (APIs, EDI, data exchange standards)</w:t>
            </w:r>
          </w:p>
          <w:p w:rsidR="00D22AE7" w:rsidRDefault="005A1FFD">
            <w:r>
              <w:rPr>
                <w:sz w:val="20"/>
                <w:szCs w:val="20"/>
              </w:rPr>
              <w:t xml:space="preserve">SOC 2 Type II </w:t>
            </w:r>
            <w:r>
              <w:rPr>
                <w:sz w:val="20"/>
                <w:szCs w:val="20"/>
              </w:rPr>
              <w:t>certified or equivalent information security framework (ISO 27001); advanced reporting and analytics</w:t>
            </w:r>
          </w:p>
          <w:p w:rsidR="00D22AE7" w:rsidRDefault="005A1FFD">
            <w:r>
              <w:rPr>
                <w:sz w:val="20"/>
                <w:szCs w:val="20"/>
              </w:rPr>
              <w:t>Digital-first workflows; technology roadmap aligned with engagement evolution</w:t>
            </w:r>
          </w:p>
        </w:tc>
      </w:tr>
      <w:tr w:rsidR="00D22AE7">
        <w:tblPrEx>
          <w:tblCellMar>
            <w:top w:w="0" w:type="dxa"/>
            <w:bottom w:w="0" w:type="dxa"/>
          </w:tblCellMar>
        </w:tblPrEx>
        <w:tc>
          <w:tcPr>
            <w:tcW w:w="900" w:type="dxa"/>
            <w:tcBorders>
              <w:top w:val="single" w:sz="6" w:space="0" w:color="B8C5D6"/>
              <w:left w:val="single" w:sz="6" w:space="0" w:color="B8C5D6"/>
              <w:bottom w:val="single" w:sz="6" w:space="0" w:color="B8C5D6"/>
              <w:right w:val="single" w:sz="6" w:space="0" w:color="B8C5D6"/>
            </w:tcBorders>
            <w:shd w:val="clear" w:color="auto" w:fill="F1F8E9"/>
            <w:tcMar>
              <w:top w:w="80" w:type="dxa"/>
              <w:left w:w="100" w:type="dxa"/>
              <w:bottom w:w="80" w:type="dxa"/>
              <w:right w:w="100" w:type="dxa"/>
            </w:tcMar>
            <w:vAlign w:val="center"/>
          </w:tcPr>
          <w:p w:rsidR="00D22AE7" w:rsidRDefault="005A1FFD">
            <w:pPr>
              <w:jc w:val="center"/>
            </w:pPr>
            <w:r>
              <w:rPr>
                <w:b/>
                <w:bCs/>
                <w:color w:val="000000"/>
                <w:sz w:val="20"/>
                <w:szCs w:val="20"/>
              </w:rPr>
              <w:t>3</w:t>
            </w:r>
          </w:p>
        </w:tc>
        <w:tc>
          <w:tcPr>
            <w:tcW w:w="1000" w:type="dxa"/>
            <w:tcBorders>
              <w:top w:val="single" w:sz="6" w:space="0" w:color="B8C5D6"/>
              <w:left w:val="single" w:sz="6" w:space="0" w:color="B8C5D6"/>
              <w:bottom w:val="single" w:sz="6" w:space="0" w:color="B8C5D6"/>
              <w:right w:val="single" w:sz="6" w:space="0" w:color="B8C5D6"/>
            </w:tcBorders>
            <w:shd w:val="clear" w:color="auto" w:fill="F1F8E9"/>
            <w:tcMar>
              <w:top w:w="80" w:type="dxa"/>
              <w:left w:w="100" w:type="dxa"/>
              <w:bottom w:w="80" w:type="dxa"/>
              <w:right w:w="100" w:type="dxa"/>
            </w:tcMar>
            <w:vAlign w:val="center"/>
          </w:tcPr>
          <w:p w:rsidR="00D22AE7" w:rsidRDefault="005A1FFD">
            <w:r>
              <w:rPr>
                <w:b/>
                <w:bCs/>
                <w:color w:val="000000"/>
                <w:sz w:val="20"/>
                <w:szCs w:val="20"/>
              </w:rPr>
              <w:t>Good</w:t>
            </w:r>
          </w:p>
        </w:tc>
        <w:tc>
          <w:tcPr>
            <w:tcW w:w="7460" w:type="dxa"/>
            <w:tcBorders>
              <w:top w:val="single" w:sz="6" w:space="0" w:color="B8C5D6"/>
              <w:left w:val="single" w:sz="6" w:space="0" w:color="B8C5D6"/>
              <w:bottom w:val="single" w:sz="6" w:space="0" w:color="B8C5D6"/>
              <w:right w:val="single" w:sz="6" w:space="0" w:color="B8C5D6"/>
            </w:tcBorders>
            <w:shd w:val="clear" w:color="auto" w:fill="F1F8E9"/>
            <w:tcMar>
              <w:top w:w="80" w:type="dxa"/>
              <w:left w:w="100" w:type="dxa"/>
              <w:bottom w:w="80" w:type="dxa"/>
              <w:right w:w="100" w:type="dxa"/>
            </w:tcMar>
          </w:tcPr>
          <w:p w:rsidR="00D22AE7" w:rsidRDefault="005A1FFD">
            <w:r>
              <w:rPr>
                <w:sz w:val="20"/>
                <w:szCs w:val="20"/>
              </w:rPr>
              <w:t>Standard software and platforms in use; adequate for engagement requirements</w:t>
            </w:r>
          </w:p>
          <w:p w:rsidR="00D22AE7" w:rsidRDefault="005A1FFD">
            <w:r>
              <w:rPr>
                <w:sz w:val="20"/>
                <w:szCs w:val="20"/>
              </w:rPr>
              <w:t>Basic integration capabilities; can connect with client systems with moderate effort</w:t>
            </w:r>
          </w:p>
          <w:p w:rsidR="00D22AE7" w:rsidRDefault="005A1FFD">
            <w:r>
              <w:rPr>
                <w:sz w:val="20"/>
                <w:szCs w:val="20"/>
              </w:rPr>
              <w:t>Documented cybersecurity policies; basic data protection and access controls</w:t>
            </w:r>
          </w:p>
          <w:p w:rsidR="00D22AE7" w:rsidRDefault="005A1FFD">
            <w:r>
              <w:rPr>
                <w:sz w:val="20"/>
                <w:szCs w:val="20"/>
              </w:rPr>
              <w:t>Standard reportin</w:t>
            </w:r>
            <w:r>
              <w:rPr>
                <w:sz w:val="20"/>
                <w:szCs w:val="20"/>
              </w:rPr>
              <w:t>g; adequate dashboards and documentation delivery</w:t>
            </w:r>
          </w:p>
        </w:tc>
      </w:tr>
      <w:tr w:rsidR="00D22AE7">
        <w:tblPrEx>
          <w:tblCellMar>
            <w:top w:w="0" w:type="dxa"/>
            <w:bottom w:w="0" w:type="dxa"/>
          </w:tblCellMar>
        </w:tblPrEx>
        <w:tc>
          <w:tcPr>
            <w:tcW w:w="900" w:type="dxa"/>
            <w:tcBorders>
              <w:top w:val="single" w:sz="6" w:space="0" w:color="B8C5D6"/>
              <w:left w:val="single" w:sz="6" w:space="0" w:color="B8C5D6"/>
              <w:bottom w:val="single" w:sz="6" w:space="0" w:color="B8C5D6"/>
              <w:right w:val="single" w:sz="6" w:space="0" w:color="B8C5D6"/>
            </w:tcBorders>
            <w:shd w:val="clear" w:color="auto" w:fill="FFFDE7"/>
            <w:tcMar>
              <w:top w:w="80" w:type="dxa"/>
              <w:left w:w="100" w:type="dxa"/>
              <w:bottom w:w="80" w:type="dxa"/>
              <w:right w:w="100" w:type="dxa"/>
            </w:tcMar>
            <w:vAlign w:val="center"/>
          </w:tcPr>
          <w:p w:rsidR="00D22AE7" w:rsidRDefault="005A1FFD">
            <w:pPr>
              <w:jc w:val="center"/>
            </w:pPr>
            <w:r>
              <w:rPr>
                <w:b/>
                <w:bCs/>
                <w:color w:val="000000"/>
                <w:sz w:val="20"/>
                <w:szCs w:val="20"/>
              </w:rPr>
              <w:t>2</w:t>
            </w:r>
          </w:p>
        </w:tc>
        <w:tc>
          <w:tcPr>
            <w:tcW w:w="1000" w:type="dxa"/>
            <w:tcBorders>
              <w:top w:val="single" w:sz="6" w:space="0" w:color="B8C5D6"/>
              <w:left w:val="single" w:sz="6" w:space="0" w:color="B8C5D6"/>
              <w:bottom w:val="single" w:sz="6" w:space="0" w:color="B8C5D6"/>
              <w:right w:val="single" w:sz="6" w:space="0" w:color="B8C5D6"/>
            </w:tcBorders>
            <w:shd w:val="clear" w:color="auto" w:fill="FFFDE7"/>
            <w:tcMar>
              <w:top w:w="80" w:type="dxa"/>
              <w:left w:w="100" w:type="dxa"/>
              <w:bottom w:w="80" w:type="dxa"/>
              <w:right w:w="100" w:type="dxa"/>
            </w:tcMar>
            <w:vAlign w:val="center"/>
          </w:tcPr>
          <w:p w:rsidR="00D22AE7" w:rsidRDefault="005A1FFD">
            <w:r>
              <w:rPr>
                <w:b/>
                <w:bCs/>
                <w:color w:val="000000"/>
                <w:sz w:val="20"/>
                <w:szCs w:val="20"/>
              </w:rPr>
              <w:t>Fair</w:t>
            </w:r>
          </w:p>
        </w:tc>
        <w:tc>
          <w:tcPr>
            <w:tcW w:w="7460" w:type="dxa"/>
            <w:tcBorders>
              <w:top w:val="single" w:sz="6" w:space="0" w:color="B8C5D6"/>
              <w:left w:val="single" w:sz="6" w:space="0" w:color="B8C5D6"/>
              <w:bottom w:val="single" w:sz="6" w:space="0" w:color="B8C5D6"/>
              <w:right w:val="single" w:sz="6" w:space="0" w:color="B8C5D6"/>
            </w:tcBorders>
            <w:shd w:val="clear" w:color="auto" w:fill="FFFDE7"/>
            <w:tcMar>
              <w:top w:w="80" w:type="dxa"/>
              <w:left w:w="100" w:type="dxa"/>
              <w:bottom w:w="80" w:type="dxa"/>
              <w:right w:w="100" w:type="dxa"/>
            </w:tcMar>
          </w:tcPr>
          <w:p w:rsidR="00D22AE7" w:rsidRDefault="005A1FFD">
            <w:r>
              <w:rPr>
                <w:sz w:val="20"/>
                <w:szCs w:val="20"/>
              </w:rPr>
              <w:t>Limited technology adoption; some manual or legacy processes that may impact efficiency</w:t>
            </w:r>
          </w:p>
          <w:p w:rsidR="00D22AE7" w:rsidRDefault="005A1FFD">
            <w:r>
              <w:rPr>
                <w:sz w:val="20"/>
                <w:szCs w:val="20"/>
              </w:rPr>
              <w:t>Minimal integration capabilities; data exchange requires manual intervention</w:t>
            </w:r>
          </w:p>
          <w:p w:rsidR="00D22AE7" w:rsidRDefault="005A1FFD">
            <w:r>
              <w:rPr>
                <w:sz w:val="20"/>
                <w:szCs w:val="20"/>
              </w:rPr>
              <w:t>Minimal security measures; no formal cybersecurity framework</w:t>
            </w:r>
          </w:p>
          <w:p w:rsidR="00D22AE7" w:rsidRDefault="005A1FFD">
            <w:r>
              <w:rPr>
                <w:sz w:val="20"/>
                <w:szCs w:val="20"/>
              </w:rPr>
              <w:t>Basic reporting only; limited transparency into performance data</w:t>
            </w:r>
          </w:p>
        </w:tc>
      </w:tr>
      <w:tr w:rsidR="00D22AE7">
        <w:tblPrEx>
          <w:tblCellMar>
            <w:top w:w="0" w:type="dxa"/>
            <w:bottom w:w="0" w:type="dxa"/>
          </w:tblCellMar>
        </w:tblPrEx>
        <w:tc>
          <w:tcPr>
            <w:tcW w:w="900" w:type="dxa"/>
            <w:tcBorders>
              <w:top w:val="single" w:sz="6" w:space="0" w:color="B8C5D6"/>
              <w:left w:val="single" w:sz="6" w:space="0" w:color="B8C5D6"/>
              <w:bottom w:val="single" w:sz="6" w:space="0" w:color="B8C5D6"/>
              <w:right w:val="single" w:sz="6" w:space="0" w:color="B8C5D6"/>
            </w:tcBorders>
            <w:shd w:val="clear" w:color="auto" w:fill="FBE9E7"/>
            <w:tcMar>
              <w:top w:w="80" w:type="dxa"/>
              <w:left w:w="100" w:type="dxa"/>
              <w:bottom w:w="80" w:type="dxa"/>
              <w:right w:w="100" w:type="dxa"/>
            </w:tcMar>
            <w:vAlign w:val="center"/>
          </w:tcPr>
          <w:p w:rsidR="00D22AE7" w:rsidRDefault="005A1FFD">
            <w:pPr>
              <w:jc w:val="center"/>
            </w:pPr>
            <w:r>
              <w:rPr>
                <w:b/>
                <w:bCs/>
                <w:color w:val="000000"/>
                <w:sz w:val="20"/>
                <w:szCs w:val="20"/>
              </w:rPr>
              <w:t>1</w:t>
            </w:r>
          </w:p>
        </w:tc>
        <w:tc>
          <w:tcPr>
            <w:tcW w:w="1000" w:type="dxa"/>
            <w:tcBorders>
              <w:top w:val="single" w:sz="6" w:space="0" w:color="B8C5D6"/>
              <w:left w:val="single" w:sz="6" w:space="0" w:color="B8C5D6"/>
              <w:bottom w:val="single" w:sz="6" w:space="0" w:color="B8C5D6"/>
              <w:right w:val="single" w:sz="6" w:space="0" w:color="B8C5D6"/>
            </w:tcBorders>
            <w:shd w:val="clear" w:color="auto" w:fill="FBE9E7"/>
            <w:tcMar>
              <w:top w:w="80" w:type="dxa"/>
              <w:left w:w="100" w:type="dxa"/>
              <w:bottom w:w="80" w:type="dxa"/>
              <w:right w:w="100" w:type="dxa"/>
            </w:tcMar>
            <w:vAlign w:val="center"/>
          </w:tcPr>
          <w:p w:rsidR="00D22AE7" w:rsidRDefault="005A1FFD">
            <w:r>
              <w:rPr>
                <w:b/>
                <w:bCs/>
                <w:color w:val="000000"/>
                <w:sz w:val="20"/>
                <w:szCs w:val="20"/>
              </w:rPr>
              <w:t>Poor</w:t>
            </w:r>
          </w:p>
        </w:tc>
        <w:tc>
          <w:tcPr>
            <w:tcW w:w="7460" w:type="dxa"/>
            <w:tcBorders>
              <w:top w:val="single" w:sz="6" w:space="0" w:color="B8C5D6"/>
              <w:left w:val="single" w:sz="6" w:space="0" w:color="B8C5D6"/>
              <w:bottom w:val="single" w:sz="6" w:space="0" w:color="B8C5D6"/>
              <w:right w:val="single" w:sz="6" w:space="0" w:color="B8C5D6"/>
            </w:tcBorders>
            <w:shd w:val="clear" w:color="auto" w:fill="FBE9E7"/>
            <w:tcMar>
              <w:top w:w="80" w:type="dxa"/>
              <w:left w:w="100" w:type="dxa"/>
              <w:bottom w:w="80" w:type="dxa"/>
              <w:right w:w="100" w:type="dxa"/>
            </w:tcMar>
          </w:tcPr>
          <w:p w:rsidR="00D22AE7" w:rsidRDefault="005A1FFD">
            <w:r>
              <w:rPr>
                <w:sz w:val="20"/>
                <w:szCs w:val="20"/>
              </w:rPr>
              <w:t>Primarily paper-based or highly manual processes; significant technology gap</w:t>
            </w:r>
          </w:p>
          <w:p w:rsidR="00D22AE7" w:rsidRDefault="005A1FFD">
            <w:r>
              <w:rPr>
                <w:sz w:val="20"/>
                <w:szCs w:val="20"/>
              </w:rPr>
              <w:t>No integration capabilities; isolated systems incompatible with client requirements</w:t>
            </w:r>
          </w:p>
          <w:p w:rsidR="00D22AE7" w:rsidRDefault="005A1FFD">
            <w:r>
              <w:rPr>
                <w:sz w:val="20"/>
                <w:szCs w:val="20"/>
              </w:rPr>
              <w:t>No cybersecurity program; data handling practices create material risk</w:t>
            </w:r>
          </w:p>
          <w:p w:rsidR="00D22AE7" w:rsidRDefault="005A1FFD">
            <w:r>
              <w:rPr>
                <w:sz w:val="20"/>
                <w:szCs w:val="20"/>
              </w:rPr>
              <w:t>No structured reporting;</w:t>
            </w:r>
            <w:r>
              <w:rPr>
                <w:sz w:val="20"/>
                <w:szCs w:val="20"/>
              </w:rPr>
              <w:t xml:space="preserve"> performance data unavailable or unreliable</w:t>
            </w:r>
          </w:p>
        </w:tc>
      </w:tr>
    </w:tbl>
    <w:p w:rsidR="00D22AE7" w:rsidRDefault="00D22AE7">
      <w:pPr>
        <w:spacing w:before="120" w:after="0"/>
      </w:pPr>
    </w:p>
    <w:p w:rsidR="00D22AE7" w:rsidRDefault="00D22AE7">
      <w:pPr>
        <w:spacing w:before="160" w:after="0"/>
      </w:pP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D22AE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B3A6B"/>
            <w:tcMar>
              <w:top w:w="140" w:type="dxa"/>
              <w:left w:w="200" w:type="dxa"/>
              <w:bottom w:w="140" w:type="dxa"/>
              <w:right w:w="200" w:type="dxa"/>
            </w:tcMar>
          </w:tcPr>
          <w:p w:rsidR="00D22AE7" w:rsidRDefault="005A1FFD">
            <w:r>
              <w:rPr>
                <w:b/>
                <w:bCs/>
                <w:color w:val="FFFFFF"/>
                <w:sz w:val="28"/>
                <w:szCs w:val="28"/>
              </w:rPr>
              <w:t>SECTION D: Risk Level Definitions</w:t>
            </w:r>
          </w:p>
        </w:tc>
      </w:tr>
    </w:tbl>
    <w:p w:rsidR="00D22AE7" w:rsidRDefault="00D22AE7">
      <w:pPr>
        <w:spacing w:before="100" w:after="0"/>
      </w:pPr>
    </w:p>
    <w:p w:rsidR="00D22AE7" w:rsidRDefault="005A1FFD">
      <w:pPr>
        <w:spacing w:after="100" w:line="264" w:lineRule="auto"/>
      </w:pPr>
      <w:r>
        <w:t xml:space="preserve">The composite score maps to one of four risk tiers. These thresholds are consistent with the WWRGD General Contractor Risk Scoring Matrix to enable cross-portfolio comparability. Risk levels drive approval authority and required contract enhancements (see </w:t>
      </w:r>
      <w:r>
        <w:t>Section F).</w:t>
      </w:r>
    </w:p>
    <w:p w:rsidR="00D22AE7" w:rsidRDefault="00D22AE7">
      <w:pPr>
        <w:spacing w:before="80" w:after="0"/>
      </w:pPr>
    </w:p>
    <w:tbl>
      <w:tblPr>
        <w:tblW w:w="10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00"/>
        <w:gridCol w:w="1300"/>
        <w:gridCol w:w="1400"/>
        <w:gridCol w:w="5160"/>
      </w:tblGrid>
      <w:tr w:rsidR="00D22AE7">
        <w:tblPrEx>
          <w:tblCellMar>
            <w:top w:w="0" w:type="dxa"/>
            <w:bottom w:w="0" w:type="dxa"/>
          </w:tblCellMar>
        </w:tblPrEx>
        <w:trPr>
          <w:tblHeader/>
        </w:trPr>
        <w:tc>
          <w:tcPr>
            <w:tcW w:w="1500" w:type="dxa"/>
            <w:tcBorders>
              <w:top w:val="single" w:sz="6" w:space="0" w:color="B8C5D6"/>
              <w:left w:val="single" w:sz="6" w:space="0" w:color="B8C5D6"/>
              <w:bottom w:val="single" w:sz="6" w:space="0" w:color="B8C5D6"/>
              <w:right w:val="single" w:sz="6" w:space="0" w:color="B8C5D6"/>
            </w:tcBorders>
            <w:shd w:val="clear" w:color="auto" w:fill="1B3A6B"/>
            <w:tcMar>
              <w:top w:w="100" w:type="dxa"/>
              <w:left w:w="100" w:type="dxa"/>
              <w:bottom w:w="100" w:type="dxa"/>
              <w:right w:w="100" w:type="dxa"/>
            </w:tcMar>
            <w:vAlign w:val="center"/>
          </w:tcPr>
          <w:p w:rsidR="00D22AE7" w:rsidRDefault="005A1FFD">
            <w:pPr>
              <w:jc w:val="center"/>
            </w:pPr>
            <w:r>
              <w:rPr>
                <w:b/>
                <w:bCs/>
                <w:color w:val="FFFFFF"/>
                <w:sz w:val="20"/>
                <w:szCs w:val="20"/>
              </w:rPr>
              <w:t>Composite Score</w:t>
            </w:r>
          </w:p>
        </w:tc>
        <w:tc>
          <w:tcPr>
            <w:tcW w:w="1300" w:type="dxa"/>
            <w:tcBorders>
              <w:top w:val="single" w:sz="6" w:space="0" w:color="B8C5D6"/>
              <w:left w:val="single" w:sz="6" w:space="0" w:color="B8C5D6"/>
              <w:bottom w:val="single" w:sz="6" w:space="0" w:color="B8C5D6"/>
              <w:right w:val="single" w:sz="6" w:space="0" w:color="B8C5D6"/>
            </w:tcBorders>
            <w:shd w:val="clear" w:color="auto" w:fill="1B3A6B"/>
            <w:tcMar>
              <w:top w:w="100" w:type="dxa"/>
              <w:left w:w="100" w:type="dxa"/>
              <w:bottom w:w="100" w:type="dxa"/>
              <w:right w:w="100" w:type="dxa"/>
            </w:tcMar>
            <w:vAlign w:val="center"/>
          </w:tcPr>
          <w:p w:rsidR="00D22AE7" w:rsidRDefault="005A1FFD">
            <w:pPr>
              <w:jc w:val="center"/>
            </w:pPr>
            <w:r>
              <w:rPr>
                <w:b/>
                <w:bCs/>
                <w:color w:val="FFFFFF"/>
                <w:sz w:val="20"/>
                <w:szCs w:val="20"/>
              </w:rPr>
              <w:t>Risk Level</w:t>
            </w:r>
          </w:p>
        </w:tc>
        <w:tc>
          <w:tcPr>
            <w:tcW w:w="1400" w:type="dxa"/>
            <w:tcBorders>
              <w:top w:val="single" w:sz="6" w:space="0" w:color="B8C5D6"/>
              <w:left w:val="single" w:sz="6" w:space="0" w:color="B8C5D6"/>
              <w:bottom w:val="single" w:sz="6" w:space="0" w:color="B8C5D6"/>
              <w:right w:val="single" w:sz="6" w:space="0" w:color="B8C5D6"/>
            </w:tcBorders>
            <w:shd w:val="clear" w:color="auto" w:fill="1B3A6B"/>
            <w:tcMar>
              <w:top w:w="100" w:type="dxa"/>
              <w:left w:w="100" w:type="dxa"/>
              <w:bottom w:w="100" w:type="dxa"/>
              <w:right w:w="100" w:type="dxa"/>
            </w:tcMar>
            <w:vAlign w:val="center"/>
          </w:tcPr>
          <w:p w:rsidR="00D22AE7" w:rsidRDefault="005A1FFD">
            <w:pPr>
              <w:jc w:val="center"/>
            </w:pPr>
            <w:r>
              <w:rPr>
                <w:b/>
                <w:bCs/>
                <w:color w:val="FFFFFF"/>
                <w:sz w:val="20"/>
                <w:szCs w:val="20"/>
              </w:rPr>
              <w:t>Color Code</w:t>
            </w:r>
          </w:p>
        </w:tc>
        <w:tc>
          <w:tcPr>
            <w:tcW w:w="5160" w:type="dxa"/>
            <w:tcBorders>
              <w:top w:val="single" w:sz="6" w:space="0" w:color="B8C5D6"/>
              <w:left w:val="single" w:sz="6" w:space="0" w:color="B8C5D6"/>
              <w:bottom w:val="single" w:sz="6" w:space="0" w:color="B8C5D6"/>
              <w:right w:val="single" w:sz="6" w:space="0" w:color="B8C5D6"/>
            </w:tcBorders>
            <w:shd w:val="clear" w:color="auto" w:fill="1B3A6B"/>
            <w:tcMar>
              <w:top w:w="100" w:type="dxa"/>
              <w:left w:w="100" w:type="dxa"/>
              <w:bottom w:w="100" w:type="dxa"/>
              <w:right w:w="100" w:type="dxa"/>
            </w:tcMar>
            <w:vAlign w:val="center"/>
          </w:tcPr>
          <w:p w:rsidR="00D22AE7" w:rsidRDefault="005A1FFD">
            <w:pPr>
              <w:jc w:val="center"/>
            </w:pPr>
            <w:r>
              <w:rPr>
                <w:b/>
                <w:bCs/>
                <w:color w:val="FFFFFF"/>
                <w:sz w:val="20"/>
                <w:szCs w:val="20"/>
              </w:rPr>
              <w:t>Interpretation</w:t>
            </w:r>
          </w:p>
        </w:tc>
      </w:tr>
      <w:tr w:rsidR="00D22AE7">
        <w:tblPrEx>
          <w:tblCellMar>
            <w:top w:w="0" w:type="dxa"/>
            <w:bottom w:w="0" w:type="dxa"/>
          </w:tblCellMar>
        </w:tblPrEx>
        <w:tc>
          <w:tcPr>
            <w:tcW w:w="1500" w:type="dxa"/>
            <w:tcBorders>
              <w:top w:val="single" w:sz="6" w:space="0" w:color="B8C5D6"/>
              <w:left w:val="single" w:sz="6" w:space="0" w:color="B8C5D6"/>
              <w:bottom w:val="single" w:sz="6" w:space="0" w:color="B8C5D6"/>
              <w:right w:val="single" w:sz="6" w:space="0" w:color="B8C5D6"/>
            </w:tcBorders>
            <w:shd w:val="clear" w:color="auto" w:fill="E8F5E9"/>
            <w:tcMar>
              <w:top w:w="80" w:type="dxa"/>
              <w:left w:w="100" w:type="dxa"/>
              <w:bottom w:w="80" w:type="dxa"/>
              <w:right w:w="100" w:type="dxa"/>
            </w:tcMar>
            <w:vAlign w:val="center"/>
          </w:tcPr>
          <w:p w:rsidR="00D22AE7" w:rsidRDefault="005A1FFD">
            <w:pPr>
              <w:jc w:val="center"/>
            </w:pPr>
            <w:r>
              <w:rPr>
                <w:b/>
                <w:bCs/>
                <w:color w:val="1B5E20"/>
                <w:sz w:val="20"/>
                <w:szCs w:val="20"/>
              </w:rPr>
              <w:t>320–400 pts</w:t>
            </w:r>
          </w:p>
        </w:tc>
        <w:tc>
          <w:tcPr>
            <w:tcW w:w="1300" w:type="dxa"/>
            <w:tcBorders>
              <w:top w:val="single" w:sz="6" w:space="0" w:color="B8C5D6"/>
              <w:left w:val="single" w:sz="6" w:space="0" w:color="B8C5D6"/>
              <w:bottom w:val="single" w:sz="6" w:space="0" w:color="B8C5D6"/>
              <w:right w:val="single" w:sz="6" w:space="0" w:color="B8C5D6"/>
            </w:tcBorders>
            <w:shd w:val="clear" w:color="auto" w:fill="E8F5E9"/>
            <w:tcMar>
              <w:top w:w="80" w:type="dxa"/>
              <w:left w:w="100" w:type="dxa"/>
              <w:bottom w:w="80" w:type="dxa"/>
              <w:right w:w="100" w:type="dxa"/>
            </w:tcMar>
            <w:vAlign w:val="center"/>
          </w:tcPr>
          <w:p w:rsidR="00D22AE7" w:rsidRDefault="005A1FFD">
            <w:pPr>
              <w:jc w:val="center"/>
            </w:pPr>
            <w:r>
              <w:rPr>
                <w:b/>
                <w:bCs/>
                <w:color w:val="1B5E20"/>
                <w:sz w:val="20"/>
                <w:szCs w:val="20"/>
              </w:rPr>
              <w:t>LOW RISK</w:t>
            </w:r>
          </w:p>
        </w:tc>
        <w:tc>
          <w:tcPr>
            <w:tcW w:w="1400" w:type="dxa"/>
            <w:tcBorders>
              <w:top w:val="single" w:sz="6" w:space="0" w:color="B8C5D6"/>
              <w:left w:val="single" w:sz="6" w:space="0" w:color="B8C5D6"/>
              <w:bottom w:val="single" w:sz="6" w:space="0" w:color="B8C5D6"/>
              <w:right w:val="single" w:sz="6" w:space="0" w:color="B8C5D6"/>
            </w:tcBorders>
            <w:shd w:val="clear" w:color="auto" w:fill="E8F5E9"/>
            <w:tcMar>
              <w:top w:w="80" w:type="dxa"/>
              <w:left w:w="100" w:type="dxa"/>
              <w:bottom w:w="80" w:type="dxa"/>
              <w:right w:w="100" w:type="dxa"/>
            </w:tcMar>
            <w:vAlign w:val="center"/>
          </w:tcPr>
          <w:p w:rsidR="00D22AE7" w:rsidRDefault="005A1FFD">
            <w:pPr>
              <w:jc w:val="center"/>
            </w:pPr>
            <w:r>
              <w:rPr>
                <w:b/>
                <w:bCs/>
                <w:color w:val="2E7D32"/>
                <w:sz w:val="20"/>
                <w:szCs w:val="20"/>
              </w:rPr>
              <w:t>● Green</w:t>
            </w:r>
          </w:p>
        </w:tc>
        <w:tc>
          <w:tcPr>
            <w:tcW w:w="5160" w:type="dxa"/>
            <w:tcBorders>
              <w:top w:val="single" w:sz="6" w:space="0" w:color="B8C5D6"/>
              <w:left w:val="single" w:sz="6" w:space="0" w:color="B8C5D6"/>
              <w:bottom w:val="single" w:sz="6" w:space="0" w:color="B8C5D6"/>
              <w:right w:val="single" w:sz="6" w:space="0" w:color="B8C5D6"/>
            </w:tcBorders>
            <w:shd w:val="clear" w:color="auto" w:fill="E8F5E9"/>
            <w:tcMar>
              <w:top w:w="80" w:type="dxa"/>
              <w:left w:w="100" w:type="dxa"/>
              <w:bottom w:w="80" w:type="dxa"/>
              <w:right w:w="100" w:type="dxa"/>
            </w:tcMar>
            <w:vAlign w:val="center"/>
          </w:tcPr>
          <w:p w:rsidR="00D22AE7" w:rsidRDefault="005A1FFD">
            <w:r>
              <w:rPr>
                <w:color w:val="1B5E20"/>
                <w:sz w:val="20"/>
                <w:szCs w:val="20"/>
              </w:rPr>
              <w:t>Vendor demonstrates strong performance across all categories. Standard approval and monitoring applicable. Engage with standard contractual terms.</w:t>
            </w:r>
          </w:p>
        </w:tc>
      </w:tr>
      <w:tr w:rsidR="00D22AE7">
        <w:tblPrEx>
          <w:tblCellMar>
            <w:top w:w="0" w:type="dxa"/>
            <w:bottom w:w="0" w:type="dxa"/>
          </w:tblCellMar>
        </w:tblPrEx>
        <w:tc>
          <w:tcPr>
            <w:tcW w:w="1500" w:type="dxa"/>
            <w:tcBorders>
              <w:top w:val="single" w:sz="6" w:space="0" w:color="B8C5D6"/>
              <w:left w:val="single" w:sz="6" w:space="0" w:color="B8C5D6"/>
              <w:bottom w:val="single" w:sz="6" w:space="0" w:color="B8C5D6"/>
              <w:right w:val="single" w:sz="6" w:space="0" w:color="B8C5D6"/>
            </w:tcBorders>
            <w:shd w:val="clear" w:color="auto" w:fill="FFFDE7"/>
            <w:tcMar>
              <w:top w:w="80" w:type="dxa"/>
              <w:left w:w="100" w:type="dxa"/>
              <w:bottom w:w="80" w:type="dxa"/>
              <w:right w:w="100" w:type="dxa"/>
            </w:tcMar>
            <w:vAlign w:val="center"/>
          </w:tcPr>
          <w:p w:rsidR="00D22AE7" w:rsidRDefault="005A1FFD">
            <w:pPr>
              <w:jc w:val="center"/>
            </w:pPr>
            <w:r>
              <w:rPr>
                <w:b/>
                <w:bCs/>
                <w:color w:val="7B4F00"/>
                <w:sz w:val="20"/>
                <w:szCs w:val="20"/>
              </w:rPr>
              <w:t>240–319 pts</w:t>
            </w:r>
          </w:p>
        </w:tc>
        <w:tc>
          <w:tcPr>
            <w:tcW w:w="1300" w:type="dxa"/>
            <w:tcBorders>
              <w:top w:val="single" w:sz="6" w:space="0" w:color="B8C5D6"/>
              <w:left w:val="single" w:sz="6" w:space="0" w:color="B8C5D6"/>
              <w:bottom w:val="single" w:sz="6" w:space="0" w:color="B8C5D6"/>
              <w:right w:val="single" w:sz="6" w:space="0" w:color="B8C5D6"/>
            </w:tcBorders>
            <w:shd w:val="clear" w:color="auto" w:fill="FFFDE7"/>
            <w:tcMar>
              <w:top w:w="80" w:type="dxa"/>
              <w:left w:w="100" w:type="dxa"/>
              <w:bottom w:w="80" w:type="dxa"/>
              <w:right w:w="100" w:type="dxa"/>
            </w:tcMar>
            <w:vAlign w:val="center"/>
          </w:tcPr>
          <w:p w:rsidR="00D22AE7" w:rsidRDefault="005A1FFD">
            <w:pPr>
              <w:jc w:val="center"/>
            </w:pPr>
            <w:r>
              <w:rPr>
                <w:b/>
                <w:bCs/>
                <w:color w:val="7B4F00"/>
                <w:sz w:val="20"/>
                <w:szCs w:val="20"/>
              </w:rPr>
              <w:t>MEDIUM RISK</w:t>
            </w:r>
          </w:p>
        </w:tc>
        <w:tc>
          <w:tcPr>
            <w:tcW w:w="1400" w:type="dxa"/>
            <w:tcBorders>
              <w:top w:val="single" w:sz="6" w:space="0" w:color="B8C5D6"/>
              <w:left w:val="single" w:sz="6" w:space="0" w:color="B8C5D6"/>
              <w:bottom w:val="single" w:sz="6" w:space="0" w:color="B8C5D6"/>
              <w:right w:val="single" w:sz="6" w:space="0" w:color="B8C5D6"/>
            </w:tcBorders>
            <w:shd w:val="clear" w:color="auto" w:fill="FFFDE7"/>
            <w:tcMar>
              <w:top w:w="80" w:type="dxa"/>
              <w:left w:w="100" w:type="dxa"/>
              <w:bottom w:w="80" w:type="dxa"/>
              <w:right w:w="100" w:type="dxa"/>
            </w:tcMar>
            <w:vAlign w:val="center"/>
          </w:tcPr>
          <w:p w:rsidR="00D22AE7" w:rsidRDefault="005A1FFD">
            <w:pPr>
              <w:jc w:val="center"/>
            </w:pPr>
            <w:r>
              <w:rPr>
                <w:b/>
                <w:bCs/>
                <w:color w:val="F9A825"/>
                <w:sz w:val="20"/>
                <w:szCs w:val="20"/>
              </w:rPr>
              <w:t>● Yellow</w:t>
            </w:r>
          </w:p>
        </w:tc>
        <w:tc>
          <w:tcPr>
            <w:tcW w:w="5160" w:type="dxa"/>
            <w:tcBorders>
              <w:top w:val="single" w:sz="6" w:space="0" w:color="B8C5D6"/>
              <w:left w:val="single" w:sz="6" w:space="0" w:color="B8C5D6"/>
              <w:bottom w:val="single" w:sz="6" w:space="0" w:color="B8C5D6"/>
              <w:right w:val="single" w:sz="6" w:space="0" w:color="B8C5D6"/>
            </w:tcBorders>
            <w:shd w:val="clear" w:color="auto" w:fill="FFFDE7"/>
            <w:tcMar>
              <w:top w:w="80" w:type="dxa"/>
              <w:left w:w="100" w:type="dxa"/>
              <w:bottom w:w="80" w:type="dxa"/>
              <w:right w:w="100" w:type="dxa"/>
            </w:tcMar>
            <w:vAlign w:val="center"/>
          </w:tcPr>
          <w:p w:rsidR="00D22AE7" w:rsidRDefault="005A1FFD">
            <w:r>
              <w:rPr>
                <w:color w:val="7B4F00"/>
                <w:sz w:val="20"/>
                <w:szCs w:val="20"/>
              </w:rPr>
              <w:t>Vendor is acceptable with identified risks requiring active management. Conditional approval with enhanced monitoring, quarterly reviews, and specific contract protections required.</w:t>
            </w:r>
          </w:p>
        </w:tc>
      </w:tr>
      <w:tr w:rsidR="00D22AE7">
        <w:tblPrEx>
          <w:tblCellMar>
            <w:top w:w="0" w:type="dxa"/>
            <w:bottom w:w="0" w:type="dxa"/>
          </w:tblCellMar>
        </w:tblPrEx>
        <w:tc>
          <w:tcPr>
            <w:tcW w:w="1500" w:type="dxa"/>
            <w:tcBorders>
              <w:top w:val="single" w:sz="6" w:space="0" w:color="B8C5D6"/>
              <w:left w:val="single" w:sz="6" w:space="0" w:color="B8C5D6"/>
              <w:bottom w:val="single" w:sz="6" w:space="0" w:color="B8C5D6"/>
              <w:right w:val="single" w:sz="6" w:space="0" w:color="B8C5D6"/>
            </w:tcBorders>
            <w:shd w:val="clear" w:color="auto" w:fill="FBE9E7"/>
            <w:tcMar>
              <w:top w:w="80" w:type="dxa"/>
              <w:left w:w="100" w:type="dxa"/>
              <w:bottom w:w="80" w:type="dxa"/>
              <w:right w:w="100" w:type="dxa"/>
            </w:tcMar>
            <w:vAlign w:val="center"/>
          </w:tcPr>
          <w:p w:rsidR="00D22AE7" w:rsidRDefault="005A1FFD">
            <w:pPr>
              <w:jc w:val="center"/>
            </w:pPr>
            <w:r>
              <w:rPr>
                <w:b/>
                <w:bCs/>
                <w:color w:val="7B2000"/>
                <w:sz w:val="20"/>
                <w:szCs w:val="20"/>
              </w:rPr>
              <w:t>160–239 pts</w:t>
            </w:r>
          </w:p>
        </w:tc>
        <w:tc>
          <w:tcPr>
            <w:tcW w:w="1300" w:type="dxa"/>
            <w:tcBorders>
              <w:top w:val="single" w:sz="6" w:space="0" w:color="B8C5D6"/>
              <w:left w:val="single" w:sz="6" w:space="0" w:color="B8C5D6"/>
              <w:bottom w:val="single" w:sz="6" w:space="0" w:color="B8C5D6"/>
              <w:right w:val="single" w:sz="6" w:space="0" w:color="B8C5D6"/>
            </w:tcBorders>
            <w:shd w:val="clear" w:color="auto" w:fill="FBE9E7"/>
            <w:tcMar>
              <w:top w:w="80" w:type="dxa"/>
              <w:left w:w="100" w:type="dxa"/>
              <w:bottom w:w="80" w:type="dxa"/>
              <w:right w:w="100" w:type="dxa"/>
            </w:tcMar>
            <w:vAlign w:val="center"/>
          </w:tcPr>
          <w:p w:rsidR="00D22AE7" w:rsidRDefault="005A1FFD">
            <w:pPr>
              <w:jc w:val="center"/>
            </w:pPr>
            <w:r>
              <w:rPr>
                <w:b/>
                <w:bCs/>
                <w:color w:val="7B2000"/>
                <w:sz w:val="20"/>
                <w:szCs w:val="20"/>
              </w:rPr>
              <w:t>HIGH RISK</w:t>
            </w:r>
          </w:p>
        </w:tc>
        <w:tc>
          <w:tcPr>
            <w:tcW w:w="1400" w:type="dxa"/>
            <w:tcBorders>
              <w:top w:val="single" w:sz="6" w:space="0" w:color="B8C5D6"/>
              <w:left w:val="single" w:sz="6" w:space="0" w:color="B8C5D6"/>
              <w:bottom w:val="single" w:sz="6" w:space="0" w:color="B8C5D6"/>
              <w:right w:val="single" w:sz="6" w:space="0" w:color="B8C5D6"/>
            </w:tcBorders>
            <w:shd w:val="clear" w:color="auto" w:fill="FBE9E7"/>
            <w:tcMar>
              <w:top w:w="80" w:type="dxa"/>
              <w:left w:w="100" w:type="dxa"/>
              <w:bottom w:w="80" w:type="dxa"/>
              <w:right w:w="100" w:type="dxa"/>
            </w:tcMar>
            <w:vAlign w:val="center"/>
          </w:tcPr>
          <w:p w:rsidR="00D22AE7" w:rsidRDefault="005A1FFD">
            <w:pPr>
              <w:jc w:val="center"/>
            </w:pPr>
            <w:r>
              <w:rPr>
                <w:b/>
                <w:bCs/>
                <w:color w:val="E65100"/>
                <w:sz w:val="20"/>
                <w:szCs w:val="20"/>
              </w:rPr>
              <w:t>● Orange</w:t>
            </w:r>
          </w:p>
        </w:tc>
        <w:tc>
          <w:tcPr>
            <w:tcW w:w="5160" w:type="dxa"/>
            <w:tcBorders>
              <w:top w:val="single" w:sz="6" w:space="0" w:color="B8C5D6"/>
              <w:left w:val="single" w:sz="6" w:space="0" w:color="B8C5D6"/>
              <w:bottom w:val="single" w:sz="6" w:space="0" w:color="B8C5D6"/>
              <w:right w:val="single" w:sz="6" w:space="0" w:color="B8C5D6"/>
            </w:tcBorders>
            <w:shd w:val="clear" w:color="auto" w:fill="FBE9E7"/>
            <w:tcMar>
              <w:top w:w="80" w:type="dxa"/>
              <w:left w:w="100" w:type="dxa"/>
              <w:bottom w:w="80" w:type="dxa"/>
              <w:right w:w="100" w:type="dxa"/>
            </w:tcMar>
            <w:vAlign w:val="center"/>
          </w:tcPr>
          <w:p w:rsidR="00D22AE7" w:rsidRDefault="005A1FFD">
            <w:r>
              <w:rPr>
                <w:color w:val="7B2000"/>
                <w:sz w:val="20"/>
                <w:szCs w:val="20"/>
              </w:rPr>
              <w:t>Vendor presents material risks requiring executive authorization. Approval requires VP/Executive sign-off, weekly reporting, dedicated WWRGD oversight, and significant contract protections. Scope reduction should be considered.</w:t>
            </w:r>
          </w:p>
        </w:tc>
      </w:tr>
      <w:tr w:rsidR="00D22AE7">
        <w:tblPrEx>
          <w:tblCellMar>
            <w:top w:w="0" w:type="dxa"/>
            <w:bottom w:w="0" w:type="dxa"/>
          </w:tblCellMar>
        </w:tblPrEx>
        <w:tc>
          <w:tcPr>
            <w:tcW w:w="1500" w:type="dxa"/>
            <w:tcBorders>
              <w:top w:val="single" w:sz="6" w:space="0" w:color="B8C5D6"/>
              <w:left w:val="single" w:sz="6" w:space="0" w:color="B8C5D6"/>
              <w:bottom w:val="single" w:sz="6" w:space="0" w:color="B8C5D6"/>
              <w:right w:val="single" w:sz="6" w:space="0" w:color="B8C5D6"/>
            </w:tcBorders>
            <w:shd w:val="clear" w:color="auto" w:fill="FFEBEE"/>
            <w:tcMar>
              <w:top w:w="80" w:type="dxa"/>
              <w:left w:w="100" w:type="dxa"/>
              <w:bottom w:w="80" w:type="dxa"/>
              <w:right w:w="100" w:type="dxa"/>
            </w:tcMar>
            <w:vAlign w:val="center"/>
          </w:tcPr>
          <w:p w:rsidR="00D22AE7" w:rsidRDefault="005A1FFD">
            <w:pPr>
              <w:jc w:val="center"/>
            </w:pPr>
            <w:r>
              <w:rPr>
                <w:b/>
                <w:bCs/>
                <w:color w:val="7B0000"/>
                <w:sz w:val="20"/>
                <w:szCs w:val="20"/>
              </w:rPr>
              <w:t>&lt; 160 pts</w:t>
            </w:r>
          </w:p>
        </w:tc>
        <w:tc>
          <w:tcPr>
            <w:tcW w:w="1300" w:type="dxa"/>
            <w:tcBorders>
              <w:top w:val="single" w:sz="6" w:space="0" w:color="B8C5D6"/>
              <w:left w:val="single" w:sz="6" w:space="0" w:color="B8C5D6"/>
              <w:bottom w:val="single" w:sz="6" w:space="0" w:color="B8C5D6"/>
              <w:right w:val="single" w:sz="6" w:space="0" w:color="B8C5D6"/>
            </w:tcBorders>
            <w:shd w:val="clear" w:color="auto" w:fill="FFEBEE"/>
            <w:tcMar>
              <w:top w:w="80" w:type="dxa"/>
              <w:left w:w="100" w:type="dxa"/>
              <w:bottom w:w="80" w:type="dxa"/>
              <w:right w:w="100" w:type="dxa"/>
            </w:tcMar>
            <w:vAlign w:val="center"/>
          </w:tcPr>
          <w:p w:rsidR="00D22AE7" w:rsidRDefault="005A1FFD">
            <w:pPr>
              <w:jc w:val="center"/>
            </w:pPr>
            <w:r>
              <w:rPr>
                <w:b/>
                <w:bCs/>
                <w:color w:val="7B0000"/>
                <w:sz w:val="20"/>
                <w:szCs w:val="20"/>
              </w:rPr>
              <w:t>CRITICAL RISK</w:t>
            </w:r>
          </w:p>
        </w:tc>
        <w:tc>
          <w:tcPr>
            <w:tcW w:w="1400" w:type="dxa"/>
            <w:tcBorders>
              <w:top w:val="single" w:sz="6" w:space="0" w:color="B8C5D6"/>
              <w:left w:val="single" w:sz="6" w:space="0" w:color="B8C5D6"/>
              <w:bottom w:val="single" w:sz="6" w:space="0" w:color="B8C5D6"/>
              <w:right w:val="single" w:sz="6" w:space="0" w:color="B8C5D6"/>
            </w:tcBorders>
            <w:shd w:val="clear" w:color="auto" w:fill="FFEBEE"/>
            <w:tcMar>
              <w:top w:w="80" w:type="dxa"/>
              <w:left w:w="100" w:type="dxa"/>
              <w:bottom w:w="80" w:type="dxa"/>
              <w:right w:w="100" w:type="dxa"/>
            </w:tcMar>
            <w:vAlign w:val="center"/>
          </w:tcPr>
          <w:p w:rsidR="00D22AE7" w:rsidRDefault="005A1FFD">
            <w:pPr>
              <w:jc w:val="center"/>
            </w:pPr>
            <w:r>
              <w:rPr>
                <w:b/>
                <w:bCs/>
                <w:color w:val="C62828"/>
                <w:sz w:val="20"/>
                <w:szCs w:val="20"/>
              </w:rPr>
              <w:t>● Red</w:t>
            </w:r>
          </w:p>
        </w:tc>
        <w:tc>
          <w:tcPr>
            <w:tcW w:w="5160" w:type="dxa"/>
            <w:tcBorders>
              <w:top w:val="single" w:sz="6" w:space="0" w:color="B8C5D6"/>
              <w:left w:val="single" w:sz="6" w:space="0" w:color="B8C5D6"/>
              <w:bottom w:val="single" w:sz="6" w:space="0" w:color="B8C5D6"/>
              <w:right w:val="single" w:sz="6" w:space="0" w:color="B8C5D6"/>
            </w:tcBorders>
            <w:shd w:val="clear" w:color="auto" w:fill="FFEBEE"/>
            <w:tcMar>
              <w:top w:w="80" w:type="dxa"/>
              <w:left w:w="100" w:type="dxa"/>
              <w:bottom w:w="80" w:type="dxa"/>
              <w:right w:w="100" w:type="dxa"/>
            </w:tcMar>
            <w:vAlign w:val="center"/>
          </w:tcPr>
          <w:p w:rsidR="00D22AE7" w:rsidRDefault="005A1FFD">
            <w:r>
              <w:rPr>
                <w:color w:val="7B0000"/>
                <w:sz w:val="20"/>
                <w:szCs w:val="20"/>
              </w:rPr>
              <w:t>Vendor is not recommended for engagement. Formal rejection letter required. Vendor may reapply after demonstrated remediation of deficiencies. No engagement without full re-evaluation.</w:t>
            </w:r>
          </w:p>
        </w:tc>
      </w:tr>
    </w:tbl>
    <w:p w:rsidR="00D22AE7" w:rsidRDefault="00D22AE7">
      <w:pPr>
        <w:spacing w:before="120" w:after="0"/>
      </w:pPr>
    </w:p>
    <w:tbl>
      <w:tblPr>
        <w:tblW w:w="10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40"/>
        <w:gridCol w:w="2340"/>
        <w:gridCol w:w="2340"/>
        <w:gridCol w:w="2340"/>
      </w:tblGrid>
      <w:tr w:rsidR="00D22AE7">
        <w:tblPrEx>
          <w:tblCellMar>
            <w:top w:w="0" w:type="dxa"/>
            <w:bottom w:w="0" w:type="dxa"/>
          </w:tblCellMar>
        </w:tblPrEx>
        <w:tc>
          <w:tcPr>
            <w:tcW w:w="2340" w:type="dxa"/>
            <w:tcBorders>
              <w:top w:val="single" w:sz="6" w:space="0" w:color="B8C5D6"/>
              <w:left w:val="single" w:sz="6" w:space="0" w:color="B8C5D6"/>
              <w:bottom w:val="single" w:sz="6" w:space="0" w:color="B8C5D6"/>
              <w:right w:val="single" w:sz="6" w:space="0" w:color="B8C5D6"/>
            </w:tcBorders>
            <w:shd w:val="clear" w:color="auto" w:fill="FFCDD2"/>
            <w:tcMar>
              <w:top w:w="80" w:type="dxa"/>
              <w:left w:w="100" w:type="dxa"/>
              <w:bottom w:w="80" w:type="dxa"/>
              <w:right w:w="100" w:type="dxa"/>
            </w:tcMar>
            <w:vAlign w:val="center"/>
          </w:tcPr>
          <w:p w:rsidR="00D22AE7" w:rsidRDefault="005A1FFD">
            <w:pPr>
              <w:jc w:val="center"/>
            </w:pPr>
            <w:r>
              <w:rPr>
                <w:b/>
                <w:bCs/>
                <w:color w:val="C62828"/>
                <w:sz w:val="20"/>
                <w:szCs w:val="20"/>
              </w:rPr>
              <w:t>&lt; 160  CRITICAL</w:t>
            </w:r>
          </w:p>
        </w:tc>
        <w:tc>
          <w:tcPr>
            <w:tcW w:w="2340" w:type="dxa"/>
            <w:tcBorders>
              <w:top w:val="single" w:sz="6" w:space="0" w:color="B8C5D6"/>
              <w:left w:val="single" w:sz="6" w:space="0" w:color="B8C5D6"/>
              <w:bottom w:val="single" w:sz="6" w:space="0" w:color="B8C5D6"/>
              <w:right w:val="single" w:sz="6" w:space="0" w:color="B8C5D6"/>
            </w:tcBorders>
            <w:shd w:val="clear" w:color="auto" w:fill="FFCCBC"/>
            <w:tcMar>
              <w:top w:w="80" w:type="dxa"/>
              <w:left w:w="100" w:type="dxa"/>
              <w:bottom w:w="80" w:type="dxa"/>
              <w:right w:w="100" w:type="dxa"/>
            </w:tcMar>
            <w:vAlign w:val="center"/>
          </w:tcPr>
          <w:p w:rsidR="00D22AE7" w:rsidRDefault="005A1FFD">
            <w:pPr>
              <w:jc w:val="center"/>
            </w:pPr>
            <w:r>
              <w:rPr>
                <w:b/>
                <w:bCs/>
                <w:color w:val="BF360C"/>
                <w:sz w:val="20"/>
                <w:szCs w:val="20"/>
              </w:rPr>
              <w:t>160–239  HIGH</w:t>
            </w:r>
          </w:p>
        </w:tc>
        <w:tc>
          <w:tcPr>
            <w:tcW w:w="2340" w:type="dxa"/>
            <w:tcBorders>
              <w:top w:val="single" w:sz="6" w:space="0" w:color="B8C5D6"/>
              <w:left w:val="single" w:sz="6" w:space="0" w:color="B8C5D6"/>
              <w:bottom w:val="single" w:sz="6" w:space="0" w:color="B8C5D6"/>
              <w:right w:val="single" w:sz="6" w:space="0" w:color="B8C5D6"/>
            </w:tcBorders>
            <w:shd w:val="clear" w:color="auto" w:fill="FFF9C4"/>
            <w:tcMar>
              <w:top w:w="80" w:type="dxa"/>
              <w:left w:w="100" w:type="dxa"/>
              <w:bottom w:w="80" w:type="dxa"/>
              <w:right w:w="100" w:type="dxa"/>
            </w:tcMar>
            <w:vAlign w:val="center"/>
          </w:tcPr>
          <w:p w:rsidR="00D22AE7" w:rsidRDefault="005A1FFD">
            <w:pPr>
              <w:jc w:val="center"/>
            </w:pPr>
            <w:r>
              <w:rPr>
                <w:b/>
                <w:bCs/>
                <w:color w:val="7B4F00"/>
                <w:sz w:val="20"/>
                <w:szCs w:val="20"/>
              </w:rPr>
              <w:t>240–319  MEDIUM</w:t>
            </w:r>
          </w:p>
        </w:tc>
        <w:tc>
          <w:tcPr>
            <w:tcW w:w="2340" w:type="dxa"/>
            <w:tcBorders>
              <w:top w:val="single" w:sz="6" w:space="0" w:color="B8C5D6"/>
              <w:left w:val="single" w:sz="6" w:space="0" w:color="B8C5D6"/>
              <w:bottom w:val="single" w:sz="6" w:space="0" w:color="B8C5D6"/>
              <w:right w:val="single" w:sz="6" w:space="0" w:color="B8C5D6"/>
            </w:tcBorders>
            <w:shd w:val="clear" w:color="auto" w:fill="C8E6C9"/>
            <w:tcMar>
              <w:top w:w="80" w:type="dxa"/>
              <w:left w:w="100" w:type="dxa"/>
              <w:bottom w:w="80" w:type="dxa"/>
              <w:right w:w="100" w:type="dxa"/>
            </w:tcMar>
            <w:vAlign w:val="center"/>
          </w:tcPr>
          <w:p w:rsidR="00D22AE7" w:rsidRDefault="005A1FFD">
            <w:pPr>
              <w:jc w:val="center"/>
            </w:pPr>
            <w:r>
              <w:rPr>
                <w:b/>
                <w:bCs/>
                <w:color w:val="1B5E20"/>
                <w:sz w:val="20"/>
                <w:szCs w:val="20"/>
              </w:rPr>
              <w:t>320–400  LOW</w:t>
            </w:r>
          </w:p>
        </w:tc>
      </w:tr>
    </w:tbl>
    <w:p w:rsidR="00D22AE7" w:rsidRDefault="005A1FFD">
      <w:pPr>
        <w:spacing w:before="60" w:after="80"/>
        <w:jc w:val="center"/>
      </w:pPr>
      <w:r>
        <w:rPr>
          <w:i/>
          <w:iCs/>
          <w:color w:val="6B7280"/>
          <w:sz w:val="18"/>
          <w:szCs w:val="18"/>
        </w:rPr>
        <w:t>Composite Score Range (0–400 points)</w:t>
      </w:r>
    </w:p>
    <w:p w:rsidR="00D22AE7" w:rsidRDefault="00D22AE7">
      <w:pPr>
        <w:spacing w:before="160" w:after="0"/>
      </w:pP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D22AE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B3A6B"/>
            <w:tcMar>
              <w:top w:w="140" w:type="dxa"/>
              <w:left w:w="200" w:type="dxa"/>
              <w:bottom w:w="140" w:type="dxa"/>
              <w:right w:w="200" w:type="dxa"/>
            </w:tcMar>
          </w:tcPr>
          <w:p w:rsidR="00D22AE7" w:rsidRDefault="005A1FFD">
            <w:r>
              <w:rPr>
                <w:b/>
                <w:bCs/>
                <w:color w:val="FFFFFF"/>
                <w:sz w:val="28"/>
                <w:szCs w:val="28"/>
              </w:rPr>
              <w:t>SECTION E: Calculation Methodology</w:t>
            </w:r>
          </w:p>
        </w:tc>
      </w:tr>
    </w:tbl>
    <w:p w:rsidR="00D22AE7" w:rsidRDefault="00D22AE7">
      <w:pPr>
        <w:spacing w:before="100" w:after="0"/>
      </w:pPr>
    </w:p>
    <w:p w:rsidR="00D22AE7" w:rsidRDefault="005A1FFD">
      <w:pPr>
        <w:spacing w:before="220" w:after="100"/>
      </w:pPr>
      <w:r>
        <w:rPr>
          <w:b/>
          <w:bCs/>
          <w:color w:val="1B3A6B"/>
          <w:sz w:val="24"/>
          <w:szCs w:val="24"/>
        </w:rPr>
        <w:t>5-Step Process</w:t>
      </w:r>
    </w:p>
    <w:tbl>
      <w:tblPr>
        <w:tblW w:w="10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0"/>
        <w:gridCol w:w="2000"/>
        <w:gridCol w:w="6360"/>
      </w:tblGrid>
      <w:tr w:rsidR="00D22AE7">
        <w:tblPrEx>
          <w:tblCellMar>
            <w:top w:w="0" w:type="dxa"/>
            <w:bottom w:w="0" w:type="dxa"/>
          </w:tblCellMar>
        </w:tblPrEx>
        <w:trPr>
          <w:tblHeader/>
        </w:trPr>
        <w:tc>
          <w:tcPr>
            <w:tcW w:w="1000" w:type="dxa"/>
            <w:tcBorders>
              <w:top w:val="single" w:sz="6" w:space="0" w:color="B8C5D6"/>
              <w:left w:val="single" w:sz="6" w:space="0" w:color="B8C5D6"/>
              <w:bottom w:val="single" w:sz="6" w:space="0" w:color="B8C5D6"/>
              <w:right w:val="single" w:sz="6" w:space="0" w:color="B8C5D6"/>
            </w:tcBorders>
            <w:shd w:val="clear" w:color="auto" w:fill="1B3A6B"/>
            <w:tcMar>
              <w:top w:w="100" w:type="dxa"/>
              <w:left w:w="100" w:type="dxa"/>
              <w:bottom w:w="100" w:type="dxa"/>
              <w:right w:w="100" w:type="dxa"/>
            </w:tcMar>
            <w:vAlign w:val="center"/>
          </w:tcPr>
          <w:p w:rsidR="00D22AE7" w:rsidRDefault="005A1FFD">
            <w:pPr>
              <w:jc w:val="center"/>
            </w:pPr>
            <w:r>
              <w:rPr>
                <w:b/>
                <w:bCs/>
                <w:color w:val="FFFFFF"/>
                <w:sz w:val="20"/>
                <w:szCs w:val="20"/>
              </w:rPr>
              <w:t>Step</w:t>
            </w:r>
          </w:p>
        </w:tc>
        <w:tc>
          <w:tcPr>
            <w:tcW w:w="2000" w:type="dxa"/>
            <w:tcBorders>
              <w:top w:val="single" w:sz="6" w:space="0" w:color="B8C5D6"/>
              <w:left w:val="single" w:sz="6" w:space="0" w:color="B8C5D6"/>
              <w:bottom w:val="single" w:sz="6" w:space="0" w:color="B8C5D6"/>
              <w:right w:val="single" w:sz="6" w:space="0" w:color="B8C5D6"/>
            </w:tcBorders>
            <w:shd w:val="clear" w:color="auto" w:fill="1B3A6B"/>
            <w:tcMar>
              <w:top w:w="100" w:type="dxa"/>
              <w:left w:w="100" w:type="dxa"/>
              <w:bottom w:w="100" w:type="dxa"/>
              <w:right w:w="100" w:type="dxa"/>
            </w:tcMar>
            <w:vAlign w:val="center"/>
          </w:tcPr>
          <w:p w:rsidR="00D22AE7" w:rsidRDefault="005A1FFD">
            <w:pPr>
              <w:jc w:val="center"/>
            </w:pPr>
            <w:r>
              <w:rPr>
                <w:b/>
                <w:bCs/>
                <w:color w:val="FFFFFF"/>
                <w:sz w:val="20"/>
                <w:szCs w:val="20"/>
              </w:rPr>
              <w:t>Action</w:t>
            </w:r>
          </w:p>
        </w:tc>
        <w:tc>
          <w:tcPr>
            <w:tcW w:w="6360" w:type="dxa"/>
            <w:tcBorders>
              <w:top w:val="single" w:sz="6" w:space="0" w:color="B8C5D6"/>
              <w:left w:val="single" w:sz="6" w:space="0" w:color="B8C5D6"/>
              <w:bottom w:val="single" w:sz="6" w:space="0" w:color="B8C5D6"/>
              <w:right w:val="single" w:sz="6" w:space="0" w:color="B8C5D6"/>
            </w:tcBorders>
            <w:shd w:val="clear" w:color="auto" w:fill="1B3A6B"/>
            <w:tcMar>
              <w:top w:w="100" w:type="dxa"/>
              <w:left w:w="100" w:type="dxa"/>
              <w:bottom w:w="100" w:type="dxa"/>
              <w:right w:w="100" w:type="dxa"/>
            </w:tcMar>
            <w:vAlign w:val="center"/>
          </w:tcPr>
          <w:p w:rsidR="00D22AE7" w:rsidRDefault="005A1FFD">
            <w:pPr>
              <w:jc w:val="center"/>
            </w:pPr>
            <w:r>
              <w:rPr>
                <w:b/>
                <w:bCs/>
                <w:color w:val="FFFFFF"/>
                <w:sz w:val="20"/>
                <w:szCs w:val="20"/>
              </w:rPr>
              <w:t>Details</w:t>
            </w:r>
          </w:p>
        </w:tc>
      </w:tr>
      <w:tr w:rsidR="00D22AE7">
        <w:tblPrEx>
          <w:tblCellMar>
            <w:top w:w="0" w:type="dxa"/>
            <w:bottom w:w="0" w:type="dxa"/>
          </w:tblCellMar>
        </w:tblPrEx>
        <w:tc>
          <w:tcPr>
            <w:tcW w:w="1000" w:type="dxa"/>
            <w:tcBorders>
              <w:top w:val="single" w:sz="6" w:space="0" w:color="B8C5D6"/>
              <w:left w:val="single" w:sz="6" w:space="0" w:color="B8C5D6"/>
              <w:bottom w:val="single" w:sz="6" w:space="0" w:color="B8C5D6"/>
              <w:right w:val="single" w:sz="6" w:space="0" w:color="B8C5D6"/>
            </w:tcBorders>
            <w:shd w:val="clear" w:color="auto" w:fill="F0F4FA"/>
            <w:tcMar>
              <w:top w:w="80" w:type="dxa"/>
              <w:left w:w="100" w:type="dxa"/>
              <w:bottom w:w="80" w:type="dxa"/>
              <w:right w:w="100" w:type="dxa"/>
            </w:tcMar>
            <w:vAlign w:val="center"/>
          </w:tcPr>
          <w:p w:rsidR="00D22AE7" w:rsidRDefault="005A1FFD">
            <w:pPr>
              <w:jc w:val="center"/>
            </w:pPr>
            <w:r>
              <w:rPr>
                <w:b/>
                <w:bCs/>
                <w:color w:val="000000"/>
                <w:sz w:val="20"/>
                <w:szCs w:val="20"/>
              </w:rPr>
              <w:t>Step 1</w:t>
            </w:r>
          </w:p>
        </w:tc>
        <w:tc>
          <w:tcPr>
            <w:tcW w:w="2000" w:type="dxa"/>
            <w:tcBorders>
              <w:top w:val="single" w:sz="6" w:space="0" w:color="B8C5D6"/>
              <w:left w:val="single" w:sz="6" w:space="0" w:color="B8C5D6"/>
              <w:bottom w:val="single" w:sz="6" w:space="0" w:color="B8C5D6"/>
              <w:right w:val="single" w:sz="6" w:space="0" w:color="B8C5D6"/>
            </w:tcBorders>
            <w:shd w:val="clear" w:color="auto" w:fill="F0F4FA"/>
            <w:tcMar>
              <w:top w:w="80" w:type="dxa"/>
              <w:left w:w="100" w:type="dxa"/>
              <w:bottom w:w="80" w:type="dxa"/>
              <w:right w:w="100" w:type="dxa"/>
            </w:tcMar>
            <w:vAlign w:val="center"/>
          </w:tcPr>
          <w:p w:rsidR="00D22AE7" w:rsidRDefault="005A1FFD">
            <w:r>
              <w:rPr>
                <w:b/>
                <w:bCs/>
                <w:color w:val="000000"/>
                <w:sz w:val="20"/>
                <w:szCs w:val="20"/>
              </w:rPr>
              <w:t>Screen for Critical Risk Indicators</w:t>
            </w:r>
          </w:p>
        </w:tc>
        <w:tc>
          <w:tcPr>
            <w:tcW w:w="6360" w:type="dxa"/>
            <w:tcBorders>
              <w:top w:val="single" w:sz="6" w:space="0" w:color="B8C5D6"/>
              <w:left w:val="single" w:sz="6" w:space="0" w:color="B8C5D6"/>
              <w:bottom w:val="single" w:sz="6" w:space="0" w:color="B8C5D6"/>
              <w:right w:val="single" w:sz="6" w:space="0" w:color="B8C5D6"/>
            </w:tcBorders>
            <w:shd w:val="clear" w:color="auto" w:fill="F0F4FA"/>
            <w:tcMar>
              <w:top w:w="80" w:type="dxa"/>
              <w:left w:w="100" w:type="dxa"/>
              <w:bottom w:w="80" w:type="dxa"/>
              <w:right w:w="100" w:type="dxa"/>
            </w:tcMar>
            <w:vAlign w:val="center"/>
          </w:tcPr>
          <w:p w:rsidR="00D22AE7" w:rsidRDefault="005A1FFD">
            <w:r>
              <w:rPr>
                <w:color w:val="000000"/>
                <w:sz w:val="20"/>
                <w:szCs w:val="20"/>
              </w:rPr>
              <w:t>Evaluate all 7 Critical Risk Indicators in Section A. Any single FAIL requires immediate escalation to VP/Executive level. Scoring should not proceed until indicator status is confirmed.</w:t>
            </w:r>
          </w:p>
        </w:tc>
      </w:tr>
      <w:tr w:rsidR="00D22AE7">
        <w:tblPrEx>
          <w:tblCellMar>
            <w:top w:w="0" w:type="dxa"/>
            <w:bottom w:w="0" w:type="dxa"/>
          </w:tblCellMar>
        </w:tblPrEx>
        <w:tc>
          <w:tcPr>
            <w:tcW w:w="1000" w:type="dxa"/>
            <w:tcBorders>
              <w:top w:val="single" w:sz="6" w:space="0" w:color="B8C5D6"/>
              <w:left w:val="single" w:sz="6" w:space="0" w:color="B8C5D6"/>
              <w:bottom w:val="single" w:sz="6" w:space="0" w:color="B8C5D6"/>
              <w:right w:val="single" w:sz="6" w:space="0" w:color="B8C5D6"/>
            </w:tcBorders>
            <w:shd w:val="clear" w:color="auto" w:fill="FFFFFF"/>
            <w:tcMar>
              <w:top w:w="80" w:type="dxa"/>
              <w:left w:w="100" w:type="dxa"/>
              <w:bottom w:w="80" w:type="dxa"/>
              <w:right w:w="100" w:type="dxa"/>
            </w:tcMar>
            <w:vAlign w:val="center"/>
          </w:tcPr>
          <w:p w:rsidR="00D22AE7" w:rsidRDefault="005A1FFD">
            <w:pPr>
              <w:jc w:val="center"/>
            </w:pPr>
            <w:r>
              <w:rPr>
                <w:b/>
                <w:bCs/>
                <w:color w:val="000000"/>
                <w:sz w:val="20"/>
                <w:szCs w:val="20"/>
              </w:rPr>
              <w:t>Step 2</w:t>
            </w:r>
          </w:p>
        </w:tc>
        <w:tc>
          <w:tcPr>
            <w:tcW w:w="2000" w:type="dxa"/>
            <w:tcBorders>
              <w:top w:val="single" w:sz="6" w:space="0" w:color="B8C5D6"/>
              <w:left w:val="single" w:sz="6" w:space="0" w:color="B8C5D6"/>
              <w:bottom w:val="single" w:sz="6" w:space="0" w:color="B8C5D6"/>
              <w:right w:val="single" w:sz="6" w:space="0" w:color="B8C5D6"/>
            </w:tcBorders>
            <w:shd w:val="clear" w:color="auto" w:fill="FFFFFF"/>
            <w:tcMar>
              <w:top w:w="80" w:type="dxa"/>
              <w:left w:w="100" w:type="dxa"/>
              <w:bottom w:w="80" w:type="dxa"/>
              <w:right w:w="100" w:type="dxa"/>
            </w:tcMar>
            <w:vAlign w:val="center"/>
          </w:tcPr>
          <w:p w:rsidR="00D22AE7" w:rsidRDefault="005A1FFD">
            <w:r>
              <w:rPr>
                <w:b/>
                <w:bCs/>
                <w:color w:val="000000"/>
                <w:sz w:val="20"/>
                <w:szCs w:val="20"/>
              </w:rPr>
              <w:t>Score Each Category (1–4 Scale)</w:t>
            </w:r>
          </w:p>
        </w:tc>
        <w:tc>
          <w:tcPr>
            <w:tcW w:w="6360" w:type="dxa"/>
            <w:tcBorders>
              <w:top w:val="single" w:sz="6" w:space="0" w:color="B8C5D6"/>
              <w:left w:val="single" w:sz="6" w:space="0" w:color="B8C5D6"/>
              <w:bottom w:val="single" w:sz="6" w:space="0" w:color="B8C5D6"/>
              <w:right w:val="single" w:sz="6" w:space="0" w:color="B8C5D6"/>
            </w:tcBorders>
            <w:shd w:val="clear" w:color="auto" w:fill="FFFFFF"/>
            <w:tcMar>
              <w:top w:w="80" w:type="dxa"/>
              <w:left w:w="100" w:type="dxa"/>
              <w:bottom w:w="80" w:type="dxa"/>
              <w:right w:w="100" w:type="dxa"/>
            </w:tcMar>
            <w:vAlign w:val="center"/>
          </w:tcPr>
          <w:p w:rsidR="00D22AE7" w:rsidRDefault="005A1FFD">
            <w:r>
              <w:rPr>
                <w:color w:val="000000"/>
                <w:sz w:val="20"/>
                <w:szCs w:val="20"/>
              </w:rPr>
              <w:t>Using the detailed rubrics in Section C, assign a score of 1, 2, 3, or 4 to each of the six weighted categories. Scores must be supported by documented evidence from the vendor RFI, references, and due diligence.</w:t>
            </w:r>
          </w:p>
        </w:tc>
      </w:tr>
      <w:tr w:rsidR="00D22AE7">
        <w:tblPrEx>
          <w:tblCellMar>
            <w:top w:w="0" w:type="dxa"/>
            <w:bottom w:w="0" w:type="dxa"/>
          </w:tblCellMar>
        </w:tblPrEx>
        <w:tc>
          <w:tcPr>
            <w:tcW w:w="1000" w:type="dxa"/>
            <w:tcBorders>
              <w:top w:val="single" w:sz="6" w:space="0" w:color="B8C5D6"/>
              <w:left w:val="single" w:sz="6" w:space="0" w:color="B8C5D6"/>
              <w:bottom w:val="single" w:sz="6" w:space="0" w:color="B8C5D6"/>
              <w:right w:val="single" w:sz="6" w:space="0" w:color="B8C5D6"/>
            </w:tcBorders>
            <w:shd w:val="clear" w:color="auto" w:fill="F0F4FA"/>
            <w:tcMar>
              <w:top w:w="80" w:type="dxa"/>
              <w:left w:w="100" w:type="dxa"/>
              <w:bottom w:w="80" w:type="dxa"/>
              <w:right w:w="100" w:type="dxa"/>
            </w:tcMar>
            <w:vAlign w:val="center"/>
          </w:tcPr>
          <w:p w:rsidR="00D22AE7" w:rsidRDefault="005A1FFD">
            <w:pPr>
              <w:jc w:val="center"/>
            </w:pPr>
            <w:r>
              <w:rPr>
                <w:b/>
                <w:bCs/>
                <w:color w:val="000000"/>
                <w:sz w:val="20"/>
                <w:szCs w:val="20"/>
              </w:rPr>
              <w:t>Step 3</w:t>
            </w:r>
          </w:p>
        </w:tc>
        <w:tc>
          <w:tcPr>
            <w:tcW w:w="2000" w:type="dxa"/>
            <w:tcBorders>
              <w:top w:val="single" w:sz="6" w:space="0" w:color="B8C5D6"/>
              <w:left w:val="single" w:sz="6" w:space="0" w:color="B8C5D6"/>
              <w:bottom w:val="single" w:sz="6" w:space="0" w:color="B8C5D6"/>
              <w:right w:val="single" w:sz="6" w:space="0" w:color="B8C5D6"/>
            </w:tcBorders>
            <w:shd w:val="clear" w:color="auto" w:fill="F0F4FA"/>
            <w:tcMar>
              <w:top w:w="80" w:type="dxa"/>
              <w:left w:w="100" w:type="dxa"/>
              <w:bottom w:w="80" w:type="dxa"/>
              <w:right w:w="100" w:type="dxa"/>
            </w:tcMar>
            <w:vAlign w:val="center"/>
          </w:tcPr>
          <w:p w:rsidR="00D22AE7" w:rsidRDefault="005A1FFD">
            <w:r>
              <w:rPr>
                <w:b/>
                <w:bCs/>
                <w:color w:val="000000"/>
                <w:sz w:val="20"/>
                <w:szCs w:val="20"/>
              </w:rPr>
              <w:t>Apply Category Weights</w:t>
            </w:r>
          </w:p>
        </w:tc>
        <w:tc>
          <w:tcPr>
            <w:tcW w:w="6360" w:type="dxa"/>
            <w:tcBorders>
              <w:top w:val="single" w:sz="6" w:space="0" w:color="B8C5D6"/>
              <w:left w:val="single" w:sz="6" w:space="0" w:color="B8C5D6"/>
              <w:bottom w:val="single" w:sz="6" w:space="0" w:color="B8C5D6"/>
              <w:right w:val="single" w:sz="6" w:space="0" w:color="B8C5D6"/>
            </w:tcBorders>
            <w:shd w:val="clear" w:color="auto" w:fill="F0F4FA"/>
            <w:tcMar>
              <w:top w:w="80" w:type="dxa"/>
              <w:left w:w="100" w:type="dxa"/>
              <w:bottom w:w="80" w:type="dxa"/>
              <w:right w:w="100" w:type="dxa"/>
            </w:tcMar>
            <w:vAlign w:val="center"/>
          </w:tcPr>
          <w:p w:rsidR="00D22AE7" w:rsidRDefault="005A1FFD">
            <w:r>
              <w:rPr>
                <w:color w:val="000000"/>
                <w:sz w:val="20"/>
                <w:szCs w:val="20"/>
              </w:rPr>
              <w:t>Multiply each category score by its weight (expressed as a percentage) and by 100. Formula: Weighted Score = Raw Score × Weight × 100. Maximum weighted score per category equals the Max Score column in Section B.</w:t>
            </w:r>
          </w:p>
        </w:tc>
      </w:tr>
      <w:tr w:rsidR="00D22AE7">
        <w:tblPrEx>
          <w:tblCellMar>
            <w:top w:w="0" w:type="dxa"/>
            <w:bottom w:w="0" w:type="dxa"/>
          </w:tblCellMar>
        </w:tblPrEx>
        <w:tc>
          <w:tcPr>
            <w:tcW w:w="1000" w:type="dxa"/>
            <w:tcBorders>
              <w:top w:val="single" w:sz="6" w:space="0" w:color="B8C5D6"/>
              <w:left w:val="single" w:sz="6" w:space="0" w:color="B8C5D6"/>
              <w:bottom w:val="single" w:sz="6" w:space="0" w:color="B8C5D6"/>
              <w:right w:val="single" w:sz="6" w:space="0" w:color="B8C5D6"/>
            </w:tcBorders>
            <w:shd w:val="clear" w:color="auto" w:fill="FFFFFF"/>
            <w:tcMar>
              <w:top w:w="80" w:type="dxa"/>
              <w:left w:w="100" w:type="dxa"/>
              <w:bottom w:w="80" w:type="dxa"/>
              <w:right w:w="100" w:type="dxa"/>
            </w:tcMar>
            <w:vAlign w:val="center"/>
          </w:tcPr>
          <w:p w:rsidR="00D22AE7" w:rsidRDefault="005A1FFD">
            <w:pPr>
              <w:jc w:val="center"/>
            </w:pPr>
            <w:r>
              <w:rPr>
                <w:b/>
                <w:bCs/>
                <w:color w:val="000000"/>
                <w:sz w:val="20"/>
                <w:szCs w:val="20"/>
              </w:rPr>
              <w:t>Step 4</w:t>
            </w:r>
          </w:p>
        </w:tc>
        <w:tc>
          <w:tcPr>
            <w:tcW w:w="2000" w:type="dxa"/>
            <w:tcBorders>
              <w:top w:val="single" w:sz="6" w:space="0" w:color="B8C5D6"/>
              <w:left w:val="single" w:sz="6" w:space="0" w:color="B8C5D6"/>
              <w:bottom w:val="single" w:sz="6" w:space="0" w:color="B8C5D6"/>
              <w:right w:val="single" w:sz="6" w:space="0" w:color="B8C5D6"/>
            </w:tcBorders>
            <w:shd w:val="clear" w:color="auto" w:fill="FFFFFF"/>
            <w:tcMar>
              <w:top w:w="80" w:type="dxa"/>
              <w:left w:w="100" w:type="dxa"/>
              <w:bottom w:w="80" w:type="dxa"/>
              <w:right w:w="100" w:type="dxa"/>
            </w:tcMar>
            <w:vAlign w:val="center"/>
          </w:tcPr>
          <w:p w:rsidR="00D22AE7" w:rsidRDefault="005A1FFD">
            <w:r>
              <w:rPr>
                <w:b/>
                <w:bCs/>
                <w:color w:val="000000"/>
                <w:sz w:val="20"/>
                <w:szCs w:val="20"/>
              </w:rPr>
              <w:t>Sum Weighted Scores</w:t>
            </w:r>
          </w:p>
        </w:tc>
        <w:tc>
          <w:tcPr>
            <w:tcW w:w="6360" w:type="dxa"/>
            <w:tcBorders>
              <w:top w:val="single" w:sz="6" w:space="0" w:color="B8C5D6"/>
              <w:left w:val="single" w:sz="6" w:space="0" w:color="B8C5D6"/>
              <w:bottom w:val="single" w:sz="6" w:space="0" w:color="B8C5D6"/>
              <w:right w:val="single" w:sz="6" w:space="0" w:color="B8C5D6"/>
            </w:tcBorders>
            <w:shd w:val="clear" w:color="auto" w:fill="FFFFFF"/>
            <w:tcMar>
              <w:top w:w="80" w:type="dxa"/>
              <w:left w:w="100" w:type="dxa"/>
              <w:bottom w:w="80" w:type="dxa"/>
              <w:right w:w="100" w:type="dxa"/>
            </w:tcMar>
            <w:vAlign w:val="center"/>
          </w:tcPr>
          <w:p w:rsidR="00D22AE7" w:rsidRDefault="005A1FFD">
            <w:r>
              <w:rPr>
                <w:color w:val="000000"/>
                <w:sz w:val="20"/>
                <w:szCs w:val="20"/>
              </w:rPr>
              <w:t>Add all six weighted scores to calculate the Composite Score. Maximum possible score is 400 points.</w:t>
            </w:r>
          </w:p>
        </w:tc>
      </w:tr>
      <w:tr w:rsidR="00D22AE7">
        <w:tblPrEx>
          <w:tblCellMar>
            <w:top w:w="0" w:type="dxa"/>
            <w:bottom w:w="0" w:type="dxa"/>
          </w:tblCellMar>
        </w:tblPrEx>
        <w:tc>
          <w:tcPr>
            <w:tcW w:w="1000" w:type="dxa"/>
            <w:tcBorders>
              <w:top w:val="single" w:sz="6" w:space="0" w:color="B8C5D6"/>
              <w:left w:val="single" w:sz="6" w:space="0" w:color="B8C5D6"/>
              <w:bottom w:val="single" w:sz="6" w:space="0" w:color="B8C5D6"/>
              <w:right w:val="single" w:sz="6" w:space="0" w:color="B8C5D6"/>
            </w:tcBorders>
            <w:shd w:val="clear" w:color="auto" w:fill="F0F4FA"/>
            <w:tcMar>
              <w:top w:w="80" w:type="dxa"/>
              <w:left w:w="100" w:type="dxa"/>
              <w:bottom w:w="80" w:type="dxa"/>
              <w:right w:w="100" w:type="dxa"/>
            </w:tcMar>
            <w:vAlign w:val="center"/>
          </w:tcPr>
          <w:p w:rsidR="00D22AE7" w:rsidRDefault="005A1FFD">
            <w:pPr>
              <w:jc w:val="center"/>
            </w:pPr>
            <w:r>
              <w:rPr>
                <w:b/>
                <w:bCs/>
                <w:color w:val="000000"/>
                <w:sz w:val="20"/>
                <w:szCs w:val="20"/>
              </w:rPr>
              <w:t>Step 5</w:t>
            </w:r>
          </w:p>
        </w:tc>
        <w:tc>
          <w:tcPr>
            <w:tcW w:w="2000" w:type="dxa"/>
            <w:tcBorders>
              <w:top w:val="single" w:sz="6" w:space="0" w:color="B8C5D6"/>
              <w:left w:val="single" w:sz="6" w:space="0" w:color="B8C5D6"/>
              <w:bottom w:val="single" w:sz="6" w:space="0" w:color="B8C5D6"/>
              <w:right w:val="single" w:sz="6" w:space="0" w:color="B8C5D6"/>
            </w:tcBorders>
            <w:shd w:val="clear" w:color="auto" w:fill="F0F4FA"/>
            <w:tcMar>
              <w:top w:w="80" w:type="dxa"/>
              <w:left w:w="100" w:type="dxa"/>
              <w:bottom w:w="80" w:type="dxa"/>
              <w:right w:w="100" w:type="dxa"/>
            </w:tcMar>
            <w:vAlign w:val="center"/>
          </w:tcPr>
          <w:p w:rsidR="00D22AE7" w:rsidRDefault="005A1FFD">
            <w:r>
              <w:rPr>
                <w:b/>
                <w:bCs/>
                <w:color w:val="000000"/>
                <w:sz w:val="20"/>
                <w:szCs w:val="20"/>
              </w:rPr>
              <w:t>Map to Risk Level</w:t>
            </w:r>
          </w:p>
        </w:tc>
        <w:tc>
          <w:tcPr>
            <w:tcW w:w="6360" w:type="dxa"/>
            <w:tcBorders>
              <w:top w:val="single" w:sz="6" w:space="0" w:color="B8C5D6"/>
              <w:left w:val="single" w:sz="6" w:space="0" w:color="B8C5D6"/>
              <w:bottom w:val="single" w:sz="6" w:space="0" w:color="B8C5D6"/>
              <w:right w:val="single" w:sz="6" w:space="0" w:color="B8C5D6"/>
            </w:tcBorders>
            <w:shd w:val="clear" w:color="auto" w:fill="F0F4FA"/>
            <w:tcMar>
              <w:top w:w="80" w:type="dxa"/>
              <w:left w:w="100" w:type="dxa"/>
              <w:bottom w:w="80" w:type="dxa"/>
              <w:right w:w="100" w:type="dxa"/>
            </w:tcMar>
            <w:vAlign w:val="center"/>
          </w:tcPr>
          <w:p w:rsidR="00D22AE7" w:rsidRDefault="005A1FFD">
            <w:r>
              <w:rPr>
                <w:color w:val="000000"/>
                <w:sz w:val="20"/>
                <w:szCs w:val="20"/>
              </w:rPr>
              <w:t>Compare the Composite Score against the thresholds in Section D to determine the Risk Level. Initiate the appropriate decision-making workflow per Section F.</w:t>
            </w:r>
          </w:p>
        </w:tc>
      </w:tr>
    </w:tbl>
    <w:p w:rsidR="00D22AE7" w:rsidRDefault="00D22AE7">
      <w:pPr>
        <w:spacing w:before="180" w:after="0"/>
      </w:pPr>
    </w:p>
    <w:p w:rsidR="00D22AE7" w:rsidRDefault="005A1FFD">
      <w:pPr>
        <w:spacing w:before="220" w:after="100"/>
      </w:pPr>
      <w:r>
        <w:rPr>
          <w:b/>
          <w:bCs/>
          <w:color w:val="1B3A6B"/>
          <w:sz w:val="24"/>
          <w:szCs w:val="24"/>
        </w:rPr>
        <w:t>Worked Example: Technology / Software Vendor Evaluation</w:t>
      </w:r>
    </w:p>
    <w:p w:rsidR="00D22AE7" w:rsidRDefault="005A1FFD">
      <w:pPr>
        <w:spacing w:after="100" w:line="264" w:lineRule="auto"/>
      </w:pPr>
      <w:r>
        <w:t>Scenario: WWRGD is evaluating CloudSync Solutions, a mid-market SaaS vendor, to provide an enterprise project portfolio management (PPM) platform. The following scores were assigned following full RFI</w:t>
      </w:r>
      <w:r>
        <w:t xml:space="preserve"> review and reference checks.</w:t>
      </w:r>
    </w:p>
    <w:p w:rsidR="00D22AE7" w:rsidRDefault="00D22AE7">
      <w:pPr>
        <w:spacing w:before="80" w:after="0"/>
      </w:pPr>
    </w:p>
    <w:tbl>
      <w:tblPr>
        <w:tblW w:w="10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1200"/>
        <w:gridCol w:w="1200"/>
        <w:gridCol w:w="1200"/>
        <w:gridCol w:w="3360"/>
      </w:tblGrid>
      <w:tr w:rsidR="00D22AE7">
        <w:tblPrEx>
          <w:tblCellMar>
            <w:top w:w="0" w:type="dxa"/>
            <w:bottom w:w="0" w:type="dxa"/>
          </w:tblCellMar>
        </w:tblPrEx>
        <w:trPr>
          <w:tblHeader/>
        </w:trPr>
        <w:tc>
          <w:tcPr>
            <w:tcW w:w="2400" w:type="dxa"/>
            <w:tcBorders>
              <w:top w:val="single" w:sz="6" w:space="0" w:color="B8C5D6"/>
              <w:left w:val="single" w:sz="6" w:space="0" w:color="B8C5D6"/>
              <w:bottom w:val="single" w:sz="6" w:space="0" w:color="B8C5D6"/>
              <w:right w:val="single" w:sz="6" w:space="0" w:color="B8C5D6"/>
            </w:tcBorders>
            <w:shd w:val="clear" w:color="auto" w:fill="1B3A6B"/>
            <w:tcMar>
              <w:top w:w="100" w:type="dxa"/>
              <w:left w:w="100" w:type="dxa"/>
              <w:bottom w:w="100" w:type="dxa"/>
              <w:right w:w="100" w:type="dxa"/>
            </w:tcMar>
            <w:vAlign w:val="center"/>
          </w:tcPr>
          <w:p w:rsidR="00D22AE7" w:rsidRDefault="005A1FFD">
            <w:pPr>
              <w:jc w:val="center"/>
            </w:pPr>
            <w:r>
              <w:rPr>
                <w:b/>
                <w:bCs/>
                <w:color w:val="FFFFFF"/>
                <w:sz w:val="20"/>
                <w:szCs w:val="20"/>
              </w:rPr>
              <w:t>Risk Category</w:t>
            </w:r>
          </w:p>
        </w:tc>
        <w:tc>
          <w:tcPr>
            <w:tcW w:w="1200" w:type="dxa"/>
            <w:tcBorders>
              <w:top w:val="single" w:sz="6" w:space="0" w:color="B8C5D6"/>
              <w:left w:val="single" w:sz="6" w:space="0" w:color="B8C5D6"/>
              <w:bottom w:val="single" w:sz="6" w:space="0" w:color="B8C5D6"/>
              <w:right w:val="single" w:sz="6" w:space="0" w:color="B8C5D6"/>
            </w:tcBorders>
            <w:shd w:val="clear" w:color="auto" w:fill="1B3A6B"/>
            <w:tcMar>
              <w:top w:w="100" w:type="dxa"/>
              <w:left w:w="100" w:type="dxa"/>
              <w:bottom w:w="100" w:type="dxa"/>
              <w:right w:w="100" w:type="dxa"/>
            </w:tcMar>
            <w:vAlign w:val="center"/>
          </w:tcPr>
          <w:p w:rsidR="00D22AE7" w:rsidRDefault="005A1FFD">
            <w:pPr>
              <w:jc w:val="center"/>
            </w:pPr>
            <w:r>
              <w:rPr>
                <w:b/>
                <w:bCs/>
                <w:color w:val="FFFFFF"/>
                <w:sz w:val="20"/>
                <w:szCs w:val="20"/>
              </w:rPr>
              <w:t>Weight</w:t>
            </w:r>
          </w:p>
        </w:tc>
        <w:tc>
          <w:tcPr>
            <w:tcW w:w="1200" w:type="dxa"/>
            <w:tcBorders>
              <w:top w:val="single" w:sz="6" w:space="0" w:color="B8C5D6"/>
              <w:left w:val="single" w:sz="6" w:space="0" w:color="B8C5D6"/>
              <w:bottom w:val="single" w:sz="6" w:space="0" w:color="B8C5D6"/>
              <w:right w:val="single" w:sz="6" w:space="0" w:color="B8C5D6"/>
            </w:tcBorders>
            <w:shd w:val="clear" w:color="auto" w:fill="1B3A6B"/>
            <w:tcMar>
              <w:top w:w="100" w:type="dxa"/>
              <w:left w:w="100" w:type="dxa"/>
              <w:bottom w:w="100" w:type="dxa"/>
              <w:right w:w="100" w:type="dxa"/>
            </w:tcMar>
            <w:vAlign w:val="center"/>
          </w:tcPr>
          <w:p w:rsidR="00D22AE7" w:rsidRDefault="005A1FFD">
            <w:pPr>
              <w:jc w:val="center"/>
            </w:pPr>
            <w:r>
              <w:rPr>
                <w:b/>
                <w:bCs/>
                <w:color w:val="FFFFFF"/>
                <w:sz w:val="20"/>
                <w:szCs w:val="20"/>
              </w:rPr>
              <w:t>Raw Score (1-4)</w:t>
            </w:r>
          </w:p>
        </w:tc>
        <w:tc>
          <w:tcPr>
            <w:tcW w:w="1200" w:type="dxa"/>
            <w:tcBorders>
              <w:top w:val="single" w:sz="6" w:space="0" w:color="B8C5D6"/>
              <w:left w:val="single" w:sz="6" w:space="0" w:color="B8C5D6"/>
              <w:bottom w:val="single" w:sz="6" w:space="0" w:color="B8C5D6"/>
              <w:right w:val="single" w:sz="6" w:space="0" w:color="B8C5D6"/>
            </w:tcBorders>
            <w:shd w:val="clear" w:color="auto" w:fill="1B3A6B"/>
            <w:tcMar>
              <w:top w:w="100" w:type="dxa"/>
              <w:left w:w="100" w:type="dxa"/>
              <w:bottom w:w="100" w:type="dxa"/>
              <w:right w:w="100" w:type="dxa"/>
            </w:tcMar>
            <w:vAlign w:val="center"/>
          </w:tcPr>
          <w:p w:rsidR="00D22AE7" w:rsidRDefault="005A1FFD">
            <w:pPr>
              <w:jc w:val="center"/>
            </w:pPr>
            <w:r>
              <w:rPr>
                <w:b/>
                <w:bCs/>
                <w:color w:val="FFFFFF"/>
                <w:sz w:val="20"/>
                <w:szCs w:val="20"/>
              </w:rPr>
              <w:t>Weighted Score</w:t>
            </w:r>
          </w:p>
        </w:tc>
        <w:tc>
          <w:tcPr>
            <w:tcW w:w="3360" w:type="dxa"/>
            <w:tcBorders>
              <w:top w:val="single" w:sz="6" w:space="0" w:color="B8C5D6"/>
              <w:left w:val="single" w:sz="6" w:space="0" w:color="B8C5D6"/>
              <w:bottom w:val="single" w:sz="6" w:space="0" w:color="B8C5D6"/>
              <w:right w:val="single" w:sz="6" w:space="0" w:color="B8C5D6"/>
            </w:tcBorders>
            <w:shd w:val="clear" w:color="auto" w:fill="1B3A6B"/>
            <w:tcMar>
              <w:top w:w="100" w:type="dxa"/>
              <w:left w:w="100" w:type="dxa"/>
              <w:bottom w:w="100" w:type="dxa"/>
              <w:right w:w="100" w:type="dxa"/>
            </w:tcMar>
            <w:vAlign w:val="center"/>
          </w:tcPr>
          <w:p w:rsidR="00D22AE7" w:rsidRDefault="005A1FFD">
            <w:pPr>
              <w:jc w:val="center"/>
            </w:pPr>
            <w:r>
              <w:rPr>
                <w:b/>
                <w:bCs/>
                <w:color w:val="FFFFFF"/>
                <w:sz w:val="20"/>
                <w:szCs w:val="20"/>
              </w:rPr>
              <w:t>Evaluator Notes</w:t>
            </w:r>
          </w:p>
        </w:tc>
      </w:tr>
      <w:tr w:rsidR="00D22AE7">
        <w:tblPrEx>
          <w:tblCellMar>
            <w:top w:w="0" w:type="dxa"/>
            <w:bottom w:w="0" w:type="dxa"/>
          </w:tblCellMar>
        </w:tblPrEx>
        <w:tc>
          <w:tcPr>
            <w:tcW w:w="2400" w:type="dxa"/>
            <w:tcBorders>
              <w:top w:val="single" w:sz="6" w:space="0" w:color="B8C5D6"/>
              <w:left w:val="single" w:sz="6" w:space="0" w:color="B8C5D6"/>
              <w:bottom w:val="single" w:sz="6" w:space="0" w:color="B8C5D6"/>
              <w:right w:val="single" w:sz="6" w:space="0" w:color="B8C5D6"/>
            </w:tcBorders>
            <w:shd w:val="clear" w:color="auto" w:fill="F0F4FA"/>
            <w:tcMar>
              <w:top w:w="80" w:type="dxa"/>
              <w:left w:w="100" w:type="dxa"/>
              <w:bottom w:w="80" w:type="dxa"/>
              <w:right w:w="100" w:type="dxa"/>
            </w:tcMar>
            <w:vAlign w:val="center"/>
          </w:tcPr>
          <w:p w:rsidR="00D22AE7" w:rsidRDefault="005A1FFD">
            <w:r>
              <w:rPr>
                <w:b/>
                <w:bCs/>
                <w:color w:val="000000"/>
                <w:sz w:val="20"/>
                <w:szCs w:val="20"/>
              </w:rPr>
              <w:t>Financial Stability</w:t>
            </w:r>
          </w:p>
        </w:tc>
        <w:tc>
          <w:tcPr>
            <w:tcW w:w="1200" w:type="dxa"/>
            <w:tcBorders>
              <w:top w:val="single" w:sz="6" w:space="0" w:color="B8C5D6"/>
              <w:left w:val="single" w:sz="6" w:space="0" w:color="B8C5D6"/>
              <w:bottom w:val="single" w:sz="6" w:space="0" w:color="B8C5D6"/>
              <w:right w:val="single" w:sz="6" w:space="0" w:color="B8C5D6"/>
            </w:tcBorders>
            <w:shd w:val="clear" w:color="auto" w:fill="F0F4FA"/>
            <w:tcMar>
              <w:top w:w="80" w:type="dxa"/>
              <w:left w:w="100" w:type="dxa"/>
              <w:bottom w:w="80" w:type="dxa"/>
              <w:right w:w="100" w:type="dxa"/>
            </w:tcMar>
            <w:vAlign w:val="center"/>
          </w:tcPr>
          <w:p w:rsidR="00D22AE7" w:rsidRDefault="005A1FFD">
            <w:pPr>
              <w:jc w:val="center"/>
            </w:pPr>
            <w:r>
              <w:rPr>
                <w:color w:val="000000"/>
                <w:sz w:val="20"/>
                <w:szCs w:val="20"/>
              </w:rPr>
              <w:t>30%</w:t>
            </w:r>
          </w:p>
        </w:tc>
        <w:tc>
          <w:tcPr>
            <w:tcW w:w="1200" w:type="dxa"/>
            <w:tcBorders>
              <w:top w:val="single" w:sz="6" w:space="0" w:color="B8C5D6"/>
              <w:left w:val="single" w:sz="6" w:space="0" w:color="B8C5D6"/>
              <w:bottom w:val="single" w:sz="6" w:space="0" w:color="B8C5D6"/>
              <w:right w:val="single" w:sz="6" w:space="0" w:color="B8C5D6"/>
            </w:tcBorders>
            <w:shd w:val="clear" w:color="auto" w:fill="F0F4FA"/>
            <w:tcMar>
              <w:top w:w="80" w:type="dxa"/>
              <w:left w:w="100" w:type="dxa"/>
              <w:bottom w:w="80" w:type="dxa"/>
              <w:right w:w="100" w:type="dxa"/>
            </w:tcMar>
            <w:vAlign w:val="center"/>
          </w:tcPr>
          <w:p w:rsidR="00D22AE7" w:rsidRDefault="005A1FFD">
            <w:pPr>
              <w:jc w:val="center"/>
            </w:pPr>
            <w:r>
              <w:rPr>
                <w:color w:val="000000"/>
                <w:sz w:val="20"/>
                <w:szCs w:val="20"/>
              </w:rPr>
              <w:t>3</w:t>
            </w:r>
          </w:p>
        </w:tc>
        <w:tc>
          <w:tcPr>
            <w:tcW w:w="1200" w:type="dxa"/>
            <w:tcBorders>
              <w:top w:val="single" w:sz="6" w:space="0" w:color="B8C5D6"/>
              <w:left w:val="single" w:sz="6" w:space="0" w:color="B8C5D6"/>
              <w:bottom w:val="single" w:sz="6" w:space="0" w:color="B8C5D6"/>
              <w:right w:val="single" w:sz="6" w:space="0" w:color="B8C5D6"/>
            </w:tcBorders>
            <w:shd w:val="clear" w:color="auto" w:fill="F0F4FA"/>
            <w:tcMar>
              <w:top w:w="80" w:type="dxa"/>
              <w:left w:w="100" w:type="dxa"/>
              <w:bottom w:w="80" w:type="dxa"/>
              <w:right w:w="100" w:type="dxa"/>
            </w:tcMar>
            <w:vAlign w:val="center"/>
          </w:tcPr>
          <w:p w:rsidR="00D22AE7" w:rsidRDefault="005A1FFD">
            <w:pPr>
              <w:jc w:val="center"/>
            </w:pPr>
            <w:r>
              <w:rPr>
                <w:b/>
                <w:bCs/>
                <w:color w:val="000000"/>
                <w:sz w:val="20"/>
                <w:szCs w:val="20"/>
              </w:rPr>
              <w:t>75 pts</w:t>
            </w:r>
          </w:p>
        </w:tc>
        <w:tc>
          <w:tcPr>
            <w:tcW w:w="3360" w:type="dxa"/>
            <w:tcBorders>
              <w:top w:val="single" w:sz="6" w:space="0" w:color="B8C5D6"/>
              <w:left w:val="single" w:sz="6" w:space="0" w:color="B8C5D6"/>
              <w:bottom w:val="single" w:sz="6" w:space="0" w:color="B8C5D6"/>
              <w:right w:val="single" w:sz="6" w:space="0" w:color="B8C5D6"/>
            </w:tcBorders>
            <w:shd w:val="clear" w:color="auto" w:fill="F0F4FA"/>
            <w:tcMar>
              <w:top w:w="80" w:type="dxa"/>
              <w:left w:w="100" w:type="dxa"/>
              <w:bottom w:w="80" w:type="dxa"/>
              <w:right w:w="100" w:type="dxa"/>
            </w:tcMar>
            <w:vAlign w:val="center"/>
          </w:tcPr>
          <w:p w:rsidR="00D22AE7" w:rsidRDefault="005A1FFD">
            <w:r>
              <w:rPr>
                <w:color w:val="000000"/>
                <w:sz w:val="20"/>
                <w:szCs w:val="20"/>
              </w:rPr>
              <w:t>D/E ratio 0.7; reviewed financials with minor findings; adequate insurance coverage; stable ARR growth</w:t>
            </w:r>
          </w:p>
        </w:tc>
      </w:tr>
      <w:tr w:rsidR="00D22AE7">
        <w:tblPrEx>
          <w:tblCellMar>
            <w:top w:w="0" w:type="dxa"/>
            <w:bottom w:w="0" w:type="dxa"/>
          </w:tblCellMar>
        </w:tblPrEx>
        <w:tc>
          <w:tcPr>
            <w:tcW w:w="2400" w:type="dxa"/>
            <w:tcBorders>
              <w:top w:val="single" w:sz="6" w:space="0" w:color="B8C5D6"/>
              <w:left w:val="single" w:sz="6" w:space="0" w:color="B8C5D6"/>
              <w:bottom w:val="single" w:sz="6" w:space="0" w:color="B8C5D6"/>
              <w:right w:val="single" w:sz="6" w:space="0" w:color="B8C5D6"/>
            </w:tcBorders>
            <w:shd w:val="clear" w:color="auto" w:fill="FFFFFF"/>
            <w:tcMar>
              <w:top w:w="80" w:type="dxa"/>
              <w:left w:w="100" w:type="dxa"/>
              <w:bottom w:w="80" w:type="dxa"/>
              <w:right w:w="100" w:type="dxa"/>
            </w:tcMar>
            <w:vAlign w:val="center"/>
          </w:tcPr>
          <w:p w:rsidR="00D22AE7" w:rsidRDefault="005A1FFD">
            <w:r>
              <w:rPr>
                <w:b/>
                <w:bCs/>
                <w:color w:val="000000"/>
                <w:sz w:val="20"/>
                <w:szCs w:val="20"/>
              </w:rPr>
              <w:t>Safety Performance</w:t>
            </w:r>
          </w:p>
        </w:tc>
        <w:tc>
          <w:tcPr>
            <w:tcW w:w="1200" w:type="dxa"/>
            <w:tcBorders>
              <w:top w:val="single" w:sz="6" w:space="0" w:color="B8C5D6"/>
              <w:left w:val="single" w:sz="6" w:space="0" w:color="B8C5D6"/>
              <w:bottom w:val="single" w:sz="6" w:space="0" w:color="B8C5D6"/>
              <w:right w:val="single" w:sz="6" w:space="0" w:color="B8C5D6"/>
            </w:tcBorders>
            <w:shd w:val="clear" w:color="auto" w:fill="FFFFFF"/>
            <w:tcMar>
              <w:top w:w="80" w:type="dxa"/>
              <w:left w:w="100" w:type="dxa"/>
              <w:bottom w:w="80" w:type="dxa"/>
              <w:right w:w="100" w:type="dxa"/>
            </w:tcMar>
            <w:vAlign w:val="center"/>
          </w:tcPr>
          <w:p w:rsidR="00D22AE7" w:rsidRDefault="005A1FFD">
            <w:pPr>
              <w:jc w:val="center"/>
            </w:pPr>
            <w:r>
              <w:rPr>
                <w:color w:val="000000"/>
                <w:sz w:val="20"/>
                <w:szCs w:val="20"/>
              </w:rPr>
              <w:t>20%</w:t>
            </w:r>
          </w:p>
        </w:tc>
        <w:tc>
          <w:tcPr>
            <w:tcW w:w="1200" w:type="dxa"/>
            <w:tcBorders>
              <w:top w:val="single" w:sz="6" w:space="0" w:color="B8C5D6"/>
              <w:left w:val="single" w:sz="6" w:space="0" w:color="B8C5D6"/>
              <w:bottom w:val="single" w:sz="6" w:space="0" w:color="B8C5D6"/>
              <w:right w:val="single" w:sz="6" w:space="0" w:color="B8C5D6"/>
            </w:tcBorders>
            <w:shd w:val="clear" w:color="auto" w:fill="E8F5E9"/>
            <w:tcMar>
              <w:top w:w="80" w:type="dxa"/>
              <w:left w:w="100" w:type="dxa"/>
              <w:bottom w:w="80" w:type="dxa"/>
              <w:right w:w="100" w:type="dxa"/>
            </w:tcMar>
            <w:vAlign w:val="center"/>
          </w:tcPr>
          <w:p w:rsidR="00D22AE7" w:rsidRDefault="005A1FFD">
            <w:pPr>
              <w:jc w:val="center"/>
            </w:pPr>
            <w:r>
              <w:rPr>
                <w:color w:val="000000"/>
                <w:sz w:val="20"/>
                <w:szCs w:val="20"/>
              </w:rPr>
              <w:t>4</w:t>
            </w:r>
          </w:p>
        </w:tc>
        <w:tc>
          <w:tcPr>
            <w:tcW w:w="1200" w:type="dxa"/>
            <w:tcBorders>
              <w:top w:val="single" w:sz="6" w:space="0" w:color="B8C5D6"/>
              <w:left w:val="single" w:sz="6" w:space="0" w:color="B8C5D6"/>
              <w:bottom w:val="single" w:sz="6" w:space="0" w:color="B8C5D6"/>
              <w:right w:val="single" w:sz="6" w:space="0" w:color="B8C5D6"/>
            </w:tcBorders>
            <w:shd w:val="clear" w:color="auto" w:fill="E8F5E9"/>
            <w:tcMar>
              <w:top w:w="80" w:type="dxa"/>
              <w:left w:w="100" w:type="dxa"/>
              <w:bottom w:w="80" w:type="dxa"/>
              <w:right w:w="100" w:type="dxa"/>
            </w:tcMar>
            <w:vAlign w:val="center"/>
          </w:tcPr>
          <w:p w:rsidR="00D22AE7" w:rsidRDefault="005A1FFD">
            <w:pPr>
              <w:jc w:val="center"/>
            </w:pPr>
            <w:r>
              <w:rPr>
                <w:b/>
                <w:bCs/>
                <w:color w:val="000000"/>
                <w:sz w:val="20"/>
                <w:szCs w:val="20"/>
              </w:rPr>
              <w:t>80 pts</w:t>
            </w:r>
          </w:p>
        </w:tc>
        <w:tc>
          <w:tcPr>
            <w:tcW w:w="3360" w:type="dxa"/>
            <w:tcBorders>
              <w:top w:val="single" w:sz="6" w:space="0" w:color="B8C5D6"/>
              <w:left w:val="single" w:sz="6" w:space="0" w:color="B8C5D6"/>
              <w:bottom w:val="single" w:sz="6" w:space="0" w:color="B8C5D6"/>
              <w:right w:val="single" w:sz="6" w:space="0" w:color="B8C5D6"/>
            </w:tcBorders>
            <w:shd w:val="clear" w:color="auto" w:fill="FFFFFF"/>
            <w:tcMar>
              <w:top w:w="80" w:type="dxa"/>
              <w:left w:w="100" w:type="dxa"/>
              <w:bottom w:w="80" w:type="dxa"/>
              <w:right w:w="100" w:type="dxa"/>
            </w:tcMar>
            <w:vAlign w:val="center"/>
          </w:tcPr>
          <w:p w:rsidR="00D22AE7" w:rsidRDefault="005A1FFD">
            <w:r>
              <w:rPr>
                <w:color w:val="000000"/>
                <w:sz w:val="20"/>
                <w:szCs w:val="20"/>
              </w:rPr>
              <w:t>Office-based vendor; zero recordable incidents; documented wellness and ergonomic programs; no OSHA findings</w:t>
            </w:r>
          </w:p>
        </w:tc>
      </w:tr>
      <w:tr w:rsidR="00D22AE7">
        <w:tblPrEx>
          <w:tblCellMar>
            <w:top w:w="0" w:type="dxa"/>
            <w:bottom w:w="0" w:type="dxa"/>
          </w:tblCellMar>
        </w:tblPrEx>
        <w:tc>
          <w:tcPr>
            <w:tcW w:w="2400" w:type="dxa"/>
            <w:tcBorders>
              <w:top w:val="single" w:sz="6" w:space="0" w:color="B8C5D6"/>
              <w:left w:val="single" w:sz="6" w:space="0" w:color="B8C5D6"/>
              <w:bottom w:val="single" w:sz="6" w:space="0" w:color="B8C5D6"/>
              <w:right w:val="single" w:sz="6" w:space="0" w:color="B8C5D6"/>
            </w:tcBorders>
            <w:shd w:val="clear" w:color="auto" w:fill="F0F4FA"/>
            <w:tcMar>
              <w:top w:w="80" w:type="dxa"/>
              <w:left w:w="100" w:type="dxa"/>
              <w:bottom w:w="80" w:type="dxa"/>
              <w:right w:w="100" w:type="dxa"/>
            </w:tcMar>
            <w:vAlign w:val="center"/>
          </w:tcPr>
          <w:p w:rsidR="00D22AE7" w:rsidRDefault="005A1FFD">
            <w:r>
              <w:rPr>
                <w:b/>
                <w:bCs/>
                <w:color w:val="000000"/>
                <w:sz w:val="20"/>
                <w:szCs w:val="20"/>
              </w:rPr>
              <w:t>Quality / Performance History</w:t>
            </w:r>
          </w:p>
        </w:tc>
        <w:tc>
          <w:tcPr>
            <w:tcW w:w="1200" w:type="dxa"/>
            <w:tcBorders>
              <w:top w:val="single" w:sz="6" w:space="0" w:color="B8C5D6"/>
              <w:left w:val="single" w:sz="6" w:space="0" w:color="B8C5D6"/>
              <w:bottom w:val="single" w:sz="6" w:space="0" w:color="B8C5D6"/>
              <w:right w:val="single" w:sz="6" w:space="0" w:color="B8C5D6"/>
            </w:tcBorders>
            <w:shd w:val="clear" w:color="auto" w:fill="F0F4FA"/>
            <w:tcMar>
              <w:top w:w="80" w:type="dxa"/>
              <w:left w:w="100" w:type="dxa"/>
              <w:bottom w:w="80" w:type="dxa"/>
              <w:right w:w="100" w:type="dxa"/>
            </w:tcMar>
            <w:vAlign w:val="center"/>
          </w:tcPr>
          <w:p w:rsidR="00D22AE7" w:rsidRDefault="005A1FFD">
            <w:pPr>
              <w:jc w:val="center"/>
            </w:pPr>
            <w:r>
              <w:rPr>
                <w:color w:val="000000"/>
                <w:sz w:val="20"/>
                <w:szCs w:val="20"/>
              </w:rPr>
              <w:t>20%</w:t>
            </w:r>
          </w:p>
        </w:tc>
        <w:tc>
          <w:tcPr>
            <w:tcW w:w="1200" w:type="dxa"/>
            <w:tcBorders>
              <w:top w:val="single" w:sz="6" w:space="0" w:color="B8C5D6"/>
              <w:left w:val="single" w:sz="6" w:space="0" w:color="B8C5D6"/>
              <w:bottom w:val="single" w:sz="6" w:space="0" w:color="B8C5D6"/>
              <w:right w:val="single" w:sz="6" w:space="0" w:color="B8C5D6"/>
            </w:tcBorders>
            <w:shd w:val="clear" w:color="auto" w:fill="F0F4FA"/>
            <w:tcMar>
              <w:top w:w="80" w:type="dxa"/>
              <w:left w:w="100" w:type="dxa"/>
              <w:bottom w:w="80" w:type="dxa"/>
              <w:right w:w="100" w:type="dxa"/>
            </w:tcMar>
            <w:vAlign w:val="center"/>
          </w:tcPr>
          <w:p w:rsidR="00D22AE7" w:rsidRDefault="005A1FFD">
            <w:pPr>
              <w:jc w:val="center"/>
            </w:pPr>
            <w:r>
              <w:rPr>
                <w:color w:val="000000"/>
                <w:sz w:val="20"/>
                <w:szCs w:val="20"/>
              </w:rPr>
              <w:t>3</w:t>
            </w:r>
          </w:p>
        </w:tc>
        <w:tc>
          <w:tcPr>
            <w:tcW w:w="1200" w:type="dxa"/>
            <w:tcBorders>
              <w:top w:val="single" w:sz="6" w:space="0" w:color="B8C5D6"/>
              <w:left w:val="single" w:sz="6" w:space="0" w:color="B8C5D6"/>
              <w:bottom w:val="single" w:sz="6" w:space="0" w:color="B8C5D6"/>
              <w:right w:val="single" w:sz="6" w:space="0" w:color="B8C5D6"/>
            </w:tcBorders>
            <w:shd w:val="clear" w:color="auto" w:fill="F0F4FA"/>
            <w:tcMar>
              <w:top w:w="80" w:type="dxa"/>
              <w:left w:w="100" w:type="dxa"/>
              <w:bottom w:w="80" w:type="dxa"/>
              <w:right w:w="100" w:type="dxa"/>
            </w:tcMar>
            <w:vAlign w:val="center"/>
          </w:tcPr>
          <w:p w:rsidR="00D22AE7" w:rsidRDefault="005A1FFD">
            <w:pPr>
              <w:jc w:val="center"/>
            </w:pPr>
            <w:r>
              <w:rPr>
                <w:b/>
                <w:bCs/>
                <w:color w:val="000000"/>
                <w:sz w:val="20"/>
                <w:szCs w:val="20"/>
              </w:rPr>
              <w:t>80 pts</w:t>
            </w:r>
          </w:p>
        </w:tc>
        <w:tc>
          <w:tcPr>
            <w:tcW w:w="3360" w:type="dxa"/>
            <w:tcBorders>
              <w:top w:val="single" w:sz="6" w:space="0" w:color="B8C5D6"/>
              <w:left w:val="single" w:sz="6" w:space="0" w:color="B8C5D6"/>
              <w:bottom w:val="single" w:sz="6" w:space="0" w:color="B8C5D6"/>
              <w:right w:val="single" w:sz="6" w:space="0" w:color="B8C5D6"/>
            </w:tcBorders>
            <w:shd w:val="clear" w:color="auto" w:fill="F0F4FA"/>
            <w:tcMar>
              <w:top w:w="80" w:type="dxa"/>
              <w:left w:w="100" w:type="dxa"/>
              <w:bottom w:w="80" w:type="dxa"/>
              <w:right w:w="100" w:type="dxa"/>
            </w:tcMar>
            <w:vAlign w:val="center"/>
          </w:tcPr>
          <w:p w:rsidR="00D22AE7" w:rsidRDefault="005A1FFD">
            <w:r>
              <w:rPr>
                <w:color w:val="000000"/>
                <w:sz w:val="20"/>
                <w:szCs w:val="20"/>
              </w:rPr>
              <w:t>SLA compliance 94% on current contracts; 82% client retention; 8% rework rate on implementation deliverables; positive references</w:t>
            </w:r>
          </w:p>
        </w:tc>
      </w:tr>
      <w:tr w:rsidR="00D22AE7">
        <w:tblPrEx>
          <w:tblCellMar>
            <w:top w:w="0" w:type="dxa"/>
            <w:bottom w:w="0" w:type="dxa"/>
          </w:tblCellMar>
        </w:tblPrEx>
        <w:tc>
          <w:tcPr>
            <w:tcW w:w="2400" w:type="dxa"/>
            <w:tcBorders>
              <w:top w:val="single" w:sz="6" w:space="0" w:color="B8C5D6"/>
              <w:left w:val="single" w:sz="6" w:space="0" w:color="B8C5D6"/>
              <w:bottom w:val="single" w:sz="6" w:space="0" w:color="B8C5D6"/>
              <w:right w:val="single" w:sz="6" w:space="0" w:color="B8C5D6"/>
            </w:tcBorders>
            <w:shd w:val="clear" w:color="auto" w:fill="FFFFFF"/>
            <w:tcMar>
              <w:top w:w="80" w:type="dxa"/>
              <w:left w:w="100" w:type="dxa"/>
              <w:bottom w:w="80" w:type="dxa"/>
              <w:right w:w="100" w:type="dxa"/>
            </w:tcMar>
            <w:vAlign w:val="center"/>
          </w:tcPr>
          <w:p w:rsidR="00D22AE7" w:rsidRDefault="005A1FFD">
            <w:r>
              <w:rPr>
                <w:b/>
                <w:bCs/>
                <w:color w:val="000000"/>
                <w:sz w:val="20"/>
                <w:szCs w:val="20"/>
              </w:rPr>
              <w:t>Operational Capacity</w:t>
            </w:r>
          </w:p>
        </w:tc>
        <w:tc>
          <w:tcPr>
            <w:tcW w:w="1200" w:type="dxa"/>
            <w:tcBorders>
              <w:top w:val="single" w:sz="6" w:space="0" w:color="B8C5D6"/>
              <w:left w:val="single" w:sz="6" w:space="0" w:color="B8C5D6"/>
              <w:bottom w:val="single" w:sz="6" w:space="0" w:color="B8C5D6"/>
              <w:right w:val="single" w:sz="6" w:space="0" w:color="B8C5D6"/>
            </w:tcBorders>
            <w:shd w:val="clear" w:color="auto" w:fill="FFFFFF"/>
            <w:tcMar>
              <w:top w:w="80" w:type="dxa"/>
              <w:left w:w="100" w:type="dxa"/>
              <w:bottom w:w="80" w:type="dxa"/>
              <w:right w:w="100" w:type="dxa"/>
            </w:tcMar>
            <w:vAlign w:val="center"/>
          </w:tcPr>
          <w:p w:rsidR="00D22AE7" w:rsidRDefault="005A1FFD">
            <w:pPr>
              <w:jc w:val="center"/>
            </w:pPr>
            <w:r>
              <w:rPr>
                <w:color w:val="000000"/>
                <w:sz w:val="20"/>
                <w:szCs w:val="20"/>
              </w:rPr>
              <w:t>20%</w:t>
            </w:r>
          </w:p>
        </w:tc>
        <w:tc>
          <w:tcPr>
            <w:tcW w:w="1200" w:type="dxa"/>
            <w:tcBorders>
              <w:top w:val="single" w:sz="6" w:space="0" w:color="B8C5D6"/>
              <w:left w:val="single" w:sz="6" w:space="0" w:color="B8C5D6"/>
              <w:bottom w:val="single" w:sz="6" w:space="0" w:color="B8C5D6"/>
              <w:right w:val="single" w:sz="6" w:space="0" w:color="B8C5D6"/>
            </w:tcBorders>
            <w:shd w:val="clear" w:color="auto" w:fill="FFFFFF"/>
            <w:tcMar>
              <w:top w:w="80" w:type="dxa"/>
              <w:left w:w="100" w:type="dxa"/>
              <w:bottom w:w="80" w:type="dxa"/>
              <w:right w:w="100" w:type="dxa"/>
            </w:tcMar>
            <w:vAlign w:val="center"/>
          </w:tcPr>
          <w:p w:rsidR="00D22AE7" w:rsidRDefault="005A1FFD">
            <w:pPr>
              <w:jc w:val="center"/>
            </w:pPr>
            <w:r>
              <w:rPr>
                <w:color w:val="000000"/>
                <w:sz w:val="20"/>
                <w:szCs w:val="20"/>
              </w:rPr>
              <w:t>3</w:t>
            </w:r>
          </w:p>
        </w:tc>
        <w:tc>
          <w:tcPr>
            <w:tcW w:w="1200" w:type="dxa"/>
            <w:tcBorders>
              <w:top w:val="single" w:sz="6" w:space="0" w:color="B8C5D6"/>
              <w:left w:val="single" w:sz="6" w:space="0" w:color="B8C5D6"/>
              <w:bottom w:val="single" w:sz="6" w:space="0" w:color="B8C5D6"/>
              <w:right w:val="single" w:sz="6" w:space="0" w:color="B8C5D6"/>
            </w:tcBorders>
            <w:shd w:val="clear" w:color="auto" w:fill="FFFFFF"/>
            <w:tcMar>
              <w:top w:w="80" w:type="dxa"/>
              <w:left w:w="100" w:type="dxa"/>
              <w:bottom w:w="80" w:type="dxa"/>
              <w:right w:w="100" w:type="dxa"/>
            </w:tcMar>
            <w:vAlign w:val="center"/>
          </w:tcPr>
          <w:p w:rsidR="00D22AE7" w:rsidRDefault="005A1FFD">
            <w:pPr>
              <w:jc w:val="center"/>
            </w:pPr>
            <w:r>
              <w:rPr>
                <w:b/>
                <w:bCs/>
                <w:color w:val="000000"/>
                <w:sz w:val="20"/>
                <w:szCs w:val="20"/>
              </w:rPr>
              <w:t>45 pts</w:t>
            </w:r>
          </w:p>
        </w:tc>
        <w:tc>
          <w:tcPr>
            <w:tcW w:w="3360" w:type="dxa"/>
            <w:tcBorders>
              <w:top w:val="single" w:sz="6" w:space="0" w:color="B8C5D6"/>
              <w:left w:val="single" w:sz="6" w:space="0" w:color="B8C5D6"/>
              <w:bottom w:val="single" w:sz="6" w:space="0" w:color="B8C5D6"/>
              <w:right w:val="single" w:sz="6" w:space="0" w:color="B8C5D6"/>
            </w:tcBorders>
            <w:shd w:val="clear" w:color="auto" w:fill="FFFFFF"/>
            <w:tcMar>
              <w:top w:w="80" w:type="dxa"/>
              <w:left w:w="100" w:type="dxa"/>
              <w:bottom w:w="80" w:type="dxa"/>
              <w:right w:w="100" w:type="dxa"/>
            </w:tcMar>
            <w:vAlign w:val="center"/>
          </w:tcPr>
          <w:p w:rsidR="00D22AE7" w:rsidRDefault="005A1FFD">
            <w:r>
              <w:rPr>
                <w:color w:val="000000"/>
                <w:sz w:val="20"/>
                <w:szCs w:val="20"/>
              </w:rPr>
              <w:t>Utilization ~78%; dedicated implementation team available; some key-person dependency on lead architect role</w:t>
            </w:r>
          </w:p>
        </w:tc>
      </w:tr>
      <w:tr w:rsidR="00D22AE7">
        <w:tblPrEx>
          <w:tblCellMar>
            <w:top w:w="0" w:type="dxa"/>
            <w:bottom w:w="0" w:type="dxa"/>
          </w:tblCellMar>
        </w:tblPrEx>
        <w:tc>
          <w:tcPr>
            <w:tcW w:w="2400" w:type="dxa"/>
            <w:tcBorders>
              <w:top w:val="single" w:sz="6" w:space="0" w:color="B8C5D6"/>
              <w:left w:val="single" w:sz="6" w:space="0" w:color="B8C5D6"/>
              <w:bottom w:val="single" w:sz="6" w:space="0" w:color="B8C5D6"/>
              <w:right w:val="single" w:sz="6" w:space="0" w:color="B8C5D6"/>
            </w:tcBorders>
            <w:shd w:val="clear" w:color="auto" w:fill="F0F4FA"/>
            <w:tcMar>
              <w:top w:w="80" w:type="dxa"/>
              <w:left w:w="100" w:type="dxa"/>
              <w:bottom w:w="80" w:type="dxa"/>
              <w:right w:w="100" w:type="dxa"/>
            </w:tcMar>
            <w:vAlign w:val="center"/>
          </w:tcPr>
          <w:p w:rsidR="00D22AE7" w:rsidRDefault="005A1FFD">
            <w:r>
              <w:rPr>
                <w:b/>
                <w:bCs/>
                <w:color w:val="000000"/>
                <w:sz w:val="20"/>
                <w:szCs w:val="20"/>
              </w:rPr>
              <w:t>Compliance Record</w:t>
            </w:r>
          </w:p>
        </w:tc>
        <w:tc>
          <w:tcPr>
            <w:tcW w:w="1200" w:type="dxa"/>
            <w:tcBorders>
              <w:top w:val="single" w:sz="6" w:space="0" w:color="B8C5D6"/>
              <w:left w:val="single" w:sz="6" w:space="0" w:color="B8C5D6"/>
              <w:bottom w:val="single" w:sz="6" w:space="0" w:color="B8C5D6"/>
              <w:right w:val="single" w:sz="6" w:space="0" w:color="B8C5D6"/>
            </w:tcBorders>
            <w:shd w:val="clear" w:color="auto" w:fill="F0F4FA"/>
            <w:tcMar>
              <w:top w:w="80" w:type="dxa"/>
              <w:left w:w="100" w:type="dxa"/>
              <w:bottom w:w="80" w:type="dxa"/>
              <w:right w:w="100" w:type="dxa"/>
            </w:tcMar>
            <w:vAlign w:val="center"/>
          </w:tcPr>
          <w:p w:rsidR="00D22AE7" w:rsidRDefault="005A1FFD">
            <w:pPr>
              <w:jc w:val="center"/>
            </w:pPr>
            <w:r>
              <w:rPr>
                <w:color w:val="000000"/>
                <w:sz w:val="20"/>
                <w:szCs w:val="20"/>
              </w:rPr>
              <w:t>10%</w:t>
            </w:r>
          </w:p>
        </w:tc>
        <w:tc>
          <w:tcPr>
            <w:tcW w:w="1200" w:type="dxa"/>
            <w:tcBorders>
              <w:top w:val="single" w:sz="6" w:space="0" w:color="B8C5D6"/>
              <w:left w:val="single" w:sz="6" w:space="0" w:color="B8C5D6"/>
              <w:bottom w:val="single" w:sz="6" w:space="0" w:color="B8C5D6"/>
              <w:right w:val="single" w:sz="6" w:space="0" w:color="B8C5D6"/>
            </w:tcBorders>
            <w:shd w:val="clear" w:color="auto" w:fill="E8F5E9"/>
            <w:tcMar>
              <w:top w:w="80" w:type="dxa"/>
              <w:left w:w="100" w:type="dxa"/>
              <w:bottom w:w="80" w:type="dxa"/>
              <w:right w:w="100" w:type="dxa"/>
            </w:tcMar>
            <w:vAlign w:val="center"/>
          </w:tcPr>
          <w:p w:rsidR="00D22AE7" w:rsidRDefault="005A1FFD">
            <w:pPr>
              <w:jc w:val="center"/>
            </w:pPr>
            <w:r>
              <w:rPr>
                <w:color w:val="000000"/>
                <w:sz w:val="20"/>
                <w:szCs w:val="20"/>
              </w:rPr>
              <w:t>4</w:t>
            </w:r>
          </w:p>
        </w:tc>
        <w:tc>
          <w:tcPr>
            <w:tcW w:w="1200" w:type="dxa"/>
            <w:tcBorders>
              <w:top w:val="single" w:sz="6" w:space="0" w:color="B8C5D6"/>
              <w:left w:val="single" w:sz="6" w:space="0" w:color="B8C5D6"/>
              <w:bottom w:val="single" w:sz="6" w:space="0" w:color="B8C5D6"/>
              <w:right w:val="single" w:sz="6" w:space="0" w:color="B8C5D6"/>
            </w:tcBorders>
            <w:shd w:val="clear" w:color="auto" w:fill="E8F5E9"/>
            <w:tcMar>
              <w:top w:w="80" w:type="dxa"/>
              <w:left w:w="100" w:type="dxa"/>
              <w:bottom w:w="80" w:type="dxa"/>
              <w:right w:w="100" w:type="dxa"/>
            </w:tcMar>
            <w:vAlign w:val="center"/>
          </w:tcPr>
          <w:p w:rsidR="00D22AE7" w:rsidRDefault="005A1FFD">
            <w:pPr>
              <w:jc w:val="center"/>
            </w:pPr>
            <w:r>
              <w:rPr>
                <w:b/>
                <w:bCs/>
                <w:color w:val="000000"/>
                <w:sz w:val="20"/>
                <w:szCs w:val="20"/>
              </w:rPr>
              <w:t>20 pts</w:t>
            </w:r>
          </w:p>
        </w:tc>
        <w:tc>
          <w:tcPr>
            <w:tcW w:w="3360" w:type="dxa"/>
            <w:tcBorders>
              <w:top w:val="single" w:sz="6" w:space="0" w:color="B8C5D6"/>
              <w:left w:val="single" w:sz="6" w:space="0" w:color="B8C5D6"/>
              <w:bottom w:val="single" w:sz="6" w:space="0" w:color="B8C5D6"/>
              <w:right w:val="single" w:sz="6" w:space="0" w:color="B8C5D6"/>
            </w:tcBorders>
            <w:shd w:val="clear" w:color="auto" w:fill="F0F4FA"/>
            <w:tcMar>
              <w:top w:w="80" w:type="dxa"/>
              <w:left w:w="100" w:type="dxa"/>
              <w:bottom w:w="80" w:type="dxa"/>
              <w:right w:w="100" w:type="dxa"/>
            </w:tcMar>
            <w:vAlign w:val="center"/>
          </w:tcPr>
          <w:p w:rsidR="00D22AE7" w:rsidRDefault="005A1FFD">
            <w:r>
              <w:rPr>
                <w:color w:val="000000"/>
                <w:sz w:val="20"/>
                <w:szCs w:val="20"/>
              </w:rPr>
              <w:t>Zero violations in 5 years; SOC 2 Type II certified; GDPR and CCPA compliant; annual third-party audit</w:t>
            </w:r>
          </w:p>
        </w:tc>
      </w:tr>
      <w:tr w:rsidR="00D22AE7">
        <w:tblPrEx>
          <w:tblCellMar>
            <w:top w:w="0" w:type="dxa"/>
            <w:bottom w:w="0" w:type="dxa"/>
          </w:tblCellMar>
        </w:tblPrEx>
        <w:tc>
          <w:tcPr>
            <w:tcW w:w="2400" w:type="dxa"/>
            <w:tcBorders>
              <w:top w:val="single" w:sz="6" w:space="0" w:color="B8C5D6"/>
              <w:left w:val="single" w:sz="6" w:space="0" w:color="B8C5D6"/>
              <w:bottom w:val="single" w:sz="6" w:space="0" w:color="B8C5D6"/>
              <w:right w:val="single" w:sz="6" w:space="0" w:color="B8C5D6"/>
            </w:tcBorders>
            <w:shd w:val="clear" w:color="auto" w:fill="FFFFFF"/>
            <w:tcMar>
              <w:top w:w="80" w:type="dxa"/>
              <w:left w:w="100" w:type="dxa"/>
              <w:bottom w:w="80" w:type="dxa"/>
              <w:right w:w="100" w:type="dxa"/>
            </w:tcMar>
            <w:vAlign w:val="center"/>
          </w:tcPr>
          <w:p w:rsidR="00D22AE7" w:rsidRDefault="005A1FFD">
            <w:r>
              <w:rPr>
                <w:b/>
                <w:bCs/>
                <w:color w:val="000000"/>
                <w:sz w:val="20"/>
                <w:szCs w:val="20"/>
              </w:rPr>
              <w:t>Technology Capabilities</w:t>
            </w:r>
          </w:p>
        </w:tc>
        <w:tc>
          <w:tcPr>
            <w:tcW w:w="1200" w:type="dxa"/>
            <w:tcBorders>
              <w:top w:val="single" w:sz="6" w:space="0" w:color="B8C5D6"/>
              <w:left w:val="single" w:sz="6" w:space="0" w:color="B8C5D6"/>
              <w:bottom w:val="single" w:sz="6" w:space="0" w:color="B8C5D6"/>
              <w:right w:val="single" w:sz="6" w:space="0" w:color="B8C5D6"/>
            </w:tcBorders>
            <w:shd w:val="clear" w:color="auto" w:fill="FFFFFF"/>
            <w:tcMar>
              <w:top w:w="80" w:type="dxa"/>
              <w:left w:w="100" w:type="dxa"/>
              <w:bottom w:w="80" w:type="dxa"/>
              <w:right w:w="100" w:type="dxa"/>
            </w:tcMar>
            <w:vAlign w:val="center"/>
          </w:tcPr>
          <w:p w:rsidR="00D22AE7" w:rsidRDefault="005A1FFD">
            <w:pPr>
              <w:jc w:val="center"/>
            </w:pPr>
            <w:r>
              <w:rPr>
                <w:color w:val="000000"/>
                <w:sz w:val="20"/>
                <w:szCs w:val="20"/>
              </w:rPr>
              <w:t>10%</w:t>
            </w:r>
          </w:p>
        </w:tc>
        <w:tc>
          <w:tcPr>
            <w:tcW w:w="1200" w:type="dxa"/>
            <w:tcBorders>
              <w:top w:val="single" w:sz="6" w:space="0" w:color="B8C5D6"/>
              <w:left w:val="single" w:sz="6" w:space="0" w:color="B8C5D6"/>
              <w:bottom w:val="single" w:sz="6" w:space="0" w:color="B8C5D6"/>
              <w:right w:val="single" w:sz="6" w:space="0" w:color="B8C5D6"/>
            </w:tcBorders>
            <w:shd w:val="clear" w:color="auto" w:fill="E8F5E9"/>
            <w:tcMar>
              <w:top w:w="80" w:type="dxa"/>
              <w:left w:w="100" w:type="dxa"/>
              <w:bottom w:w="80" w:type="dxa"/>
              <w:right w:w="100" w:type="dxa"/>
            </w:tcMar>
            <w:vAlign w:val="center"/>
          </w:tcPr>
          <w:p w:rsidR="00D22AE7" w:rsidRDefault="005A1FFD">
            <w:pPr>
              <w:jc w:val="center"/>
            </w:pPr>
            <w:r>
              <w:rPr>
                <w:color w:val="000000"/>
                <w:sz w:val="20"/>
                <w:szCs w:val="20"/>
              </w:rPr>
              <w:t>4</w:t>
            </w:r>
          </w:p>
        </w:tc>
        <w:tc>
          <w:tcPr>
            <w:tcW w:w="1200" w:type="dxa"/>
            <w:tcBorders>
              <w:top w:val="single" w:sz="6" w:space="0" w:color="B8C5D6"/>
              <w:left w:val="single" w:sz="6" w:space="0" w:color="B8C5D6"/>
              <w:bottom w:val="single" w:sz="6" w:space="0" w:color="B8C5D6"/>
              <w:right w:val="single" w:sz="6" w:space="0" w:color="B8C5D6"/>
            </w:tcBorders>
            <w:shd w:val="clear" w:color="auto" w:fill="E8F5E9"/>
            <w:tcMar>
              <w:top w:w="80" w:type="dxa"/>
              <w:left w:w="100" w:type="dxa"/>
              <w:bottom w:w="80" w:type="dxa"/>
              <w:right w:w="100" w:type="dxa"/>
            </w:tcMar>
            <w:vAlign w:val="center"/>
          </w:tcPr>
          <w:p w:rsidR="00D22AE7" w:rsidRDefault="005A1FFD">
            <w:pPr>
              <w:jc w:val="center"/>
            </w:pPr>
            <w:r>
              <w:rPr>
                <w:b/>
                <w:bCs/>
                <w:color w:val="000000"/>
                <w:sz w:val="20"/>
                <w:szCs w:val="20"/>
              </w:rPr>
              <w:t>20 pts</w:t>
            </w:r>
          </w:p>
        </w:tc>
        <w:tc>
          <w:tcPr>
            <w:tcW w:w="3360" w:type="dxa"/>
            <w:tcBorders>
              <w:top w:val="single" w:sz="6" w:space="0" w:color="B8C5D6"/>
              <w:left w:val="single" w:sz="6" w:space="0" w:color="B8C5D6"/>
              <w:bottom w:val="single" w:sz="6" w:space="0" w:color="B8C5D6"/>
              <w:right w:val="single" w:sz="6" w:space="0" w:color="B8C5D6"/>
            </w:tcBorders>
            <w:shd w:val="clear" w:color="auto" w:fill="FFFFFF"/>
            <w:tcMar>
              <w:top w:w="80" w:type="dxa"/>
              <w:left w:w="100" w:type="dxa"/>
              <w:bottom w:w="80" w:type="dxa"/>
              <w:right w:w="100" w:type="dxa"/>
            </w:tcMar>
            <w:vAlign w:val="center"/>
          </w:tcPr>
          <w:p w:rsidR="00D22AE7" w:rsidRDefault="005A1FFD">
            <w:r>
              <w:rPr>
                <w:color w:val="000000"/>
                <w:sz w:val="20"/>
                <w:szCs w:val="20"/>
              </w:rPr>
              <w:t>Native API and ERP integration; REST API available; SOC 2 certified; advanced analytics dashboard; actively investing in AI-assisted reporting</w:t>
            </w:r>
          </w:p>
        </w:tc>
      </w:tr>
      <w:tr w:rsidR="00D22AE7">
        <w:tblPrEx>
          <w:tblCellMar>
            <w:top w:w="0" w:type="dxa"/>
            <w:bottom w:w="0" w:type="dxa"/>
          </w:tblCellMar>
        </w:tblPrEx>
        <w:tc>
          <w:tcPr>
            <w:tcW w:w="2400" w:type="dxa"/>
            <w:tcBorders>
              <w:top w:val="single" w:sz="6" w:space="0" w:color="B8C5D6"/>
              <w:left w:val="single" w:sz="6" w:space="0" w:color="B8C5D6"/>
              <w:bottom w:val="single" w:sz="6" w:space="0" w:color="B8C5D6"/>
              <w:right w:val="single" w:sz="6" w:space="0" w:color="B8C5D6"/>
            </w:tcBorders>
            <w:shd w:val="clear" w:color="auto" w:fill="1B3A6B"/>
            <w:tcMar>
              <w:top w:w="80" w:type="dxa"/>
              <w:left w:w="100" w:type="dxa"/>
              <w:bottom w:w="80" w:type="dxa"/>
              <w:right w:w="100" w:type="dxa"/>
            </w:tcMar>
            <w:vAlign w:val="center"/>
          </w:tcPr>
          <w:p w:rsidR="00D22AE7" w:rsidRDefault="005A1FFD">
            <w:r>
              <w:rPr>
                <w:b/>
                <w:bCs/>
                <w:color w:val="FFFFFF"/>
                <w:sz w:val="20"/>
                <w:szCs w:val="20"/>
              </w:rPr>
              <w:t>COMPOSITE SCORE</w:t>
            </w:r>
          </w:p>
        </w:tc>
        <w:tc>
          <w:tcPr>
            <w:tcW w:w="1200" w:type="dxa"/>
            <w:tcBorders>
              <w:top w:val="single" w:sz="6" w:space="0" w:color="B8C5D6"/>
              <w:left w:val="single" w:sz="6" w:space="0" w:color="B8C5D6"/>
              <w:bottom w:val="single" w:sz="6" w:space="0" w:color="B8C5D6"/>
              <w:right w:val="single" w:sz="6" w:space="0" w:color="B8C5D6"/>
            </w:tcBorders>
            <w:shd w:val="clear" w:color="auto" w:fill="1B3A6B"/>
            <w:tcMar>
              <w:top w:w="80" w:type="dxa"/>
              <w:left w:w="100" w:type="dxa"/>
              <w:bottom w:w="80" w:type="dxa"/>
              <w:right w:w="100" w:type="dxa"/>
            </w:tcMar>
            <w:vAlign w:val="center"/>
          </w:tcPr>
          <w:p w:rsidR="00D22AE7" w:rsidRDefault="005A1FFD">
            <w:pPr>
              <w:jc w:val="center"/>
            </w:pPr>
            <w:r>
              <w:rPr>
                <w:b/>
                <w:bCs/>
                <w:color w:val="FFFFFF"/>
                <w:sz w:val="20"/>
                <w:szCs w:val="20"/>
              </w:rPr>
              <w:t>100%</w:t>
            </w:r>
          </w:p>
        </w:tc>
        <w:tc>
          <w:tcPr>
            <w:tcW w:w="1200" w:type="dxa"/>
            <w:tcBorders>
              <w:top w:val="single" w:sz="6" w:space="0" w:color="B8C5D6"/>
              <w:left w:val="single" w:sz="6" w:space="0" w:color="B8C5D6"/>
              <w:bottom w:val="single" w:sz="6" w:space="0" w:color="B8C5D6"/>
              <w:right w:val="single" w:sz="6" w:space="0" w:color="B8C5D6"/>
            </w:tcBorders>
            <w:shd w:val="clear" w:color="auto" w:fill="1B3A6B"/>
            <w:tcMar>
              <w:top w:w="80" w:type="dxa"/>
              <w:left w:w="100" w:type="dxa"/>
              <w:bottom w:w="80" w:type="dxa"/>
              <w:right w:w="100" w:type="dxa"/>
            </w:tcMar>
            <w:vAlign w:val="center"/>
          </w:tcPr>
          <w:p w:rsidR="00D22AE7" w:rsidRDefault="005A1FFD">
            <w:pPr>
              <w:jc w:val="center"/>
            </w:pPr>
            <w:r>
              <w:rPr>
                <w:color w:val="FFFFFF"/>
                <w:sz w:val="20"/>
                <w:szCs w:val="20"/>
              </w:rPr>
              <w:t>—</w:t>
            </w:r>
          </w:p>
        </w:tc>
        <w:tc>
          <w:tcPr>
            <w:tcW w:w="1200" w:type="dxa"/>
            <w:tcBorders>
              <w:top w:val="single" w:sz="6" w:space="0" w:color="B8C5D6"/>
              <w:left w:val="single" w:sz="6" w:space="0" w:color="B8C5D6"/>
              <w:bottom w:val="single" w:sz="6" w:space="0" w:color="B8C5D6"/>
              <w:right w:val="single" w:sz="6" w:space="0" w:color="B8C5D6"/>
            </w:tcBorders>
            <w:shd w:val="clear" w:color="auto" w:fill="2E7D32"/>
            <w:tcMar>
              <w:top w:w="80" w:type="dxa"/>
              <w:left w:w="100" w:type="dxa"/>
              <w:bottom w:w="80" w:type="dxa"/>
              <w:right w:w="100" w:type="dxa"/>
            </w:tcMar>
            <w:vAlign w:val="center"/>
          </w:tcPr>
          <w:p w:rsidR="00D22AE7" w:rsidRDefault="005A1FFD">
            <w:pPr>
              <w:jc w:val="center"/>
            </w:pPr>
            <w:r>
              <w:rPr>
                <w:b/>
                <w:bCs/>
                <w:color w:val="FFFFFF"/>
              </w:rPr>
              <w:t>340 pts</w:t>
            </w:r>
          </w:p>
        </w:tc>
        <w:tc>
          <w:tcPr>
            <w:tcW w:w="3360" w:type="dxa"/>
            <w:tcBorders>
              <w:top w:val="single" w:sz="6" w:space="0" w:color="B8C5D6"/>
              <w:left w:val="single" w:sz="6" w:space="0" w:color="B8C5D6"/>
              <w:bottom w:val="single" w:sz="6" w:space="0" w:color="B8C5D6"/>
              <w:right w:val="single" w:sz="6" w:space="0" w:color="B8C5D6"/>
            </w:tcBorders>
            <w:shd w:val="clear" w:color="auto" w:fill="2E7D32"/>
            <w:tcMar>
              <w:top w:w="80" w:type="dxa"/>
              <w:left w:w="100" w:type="dxa"/>
              <w:bottom w:w="80" w:type="dxa"/>
              <w:right w:w="100" w:type="dxa"/>
            </w:tcMar>
            <w:vAlign w:val="center"/>
          </w:tcPr>
          <w:p w:rsidR="00D22AE7" w:rsidRDefault="005A1FFD">
            <w:r>
              <w:rPr>
                <w:b/>
                <w:bCs/>
                <w:color w:val="FFFFFF"/>
                <w:sz w:val="20"/>
                <w:szCs w:val="20"/>
              </w:rPr>
              <w:t>LOW RISK ● Green → Approve with standard terms</w:t>
            </w:r>
          </w:p>
        </w:tc>
      </w:tr>
    </w:tbl>
    <w:p w:rsidR="00D22AE7" w:rsidRDefault="00D22AE7">
      <w:pPr>
        <w:spacing w:before="100" w:after="0"/>
      </w:pPr>
    </w:p>
    <w:p w:rsidR="00D22AE7" w:rsidRDefault="005A1FFD">
      <w:pPr>
        <w:spacing w:after="80"/>
      </w:pPr>
      <w:r>
        <w:rPr>
          <w:b/>
          <w:bCs/>
          <w:color w:val="1B3A6B"/>
          <w:sz w:val="20"/>
          <w:szCs w:val="20"/>
        </w:rPr>
        <w:t xml:space="preserve">Result: </w:t>
      </w:r>
      <w:r>
        <w:rPr>
          <w:sz w:val="20"/>
          <w:szCs w:val="20"/>
        </w:rPr>
        <w:t xml:space="preserve">CloudSync Solutions scores 340 out of 400 points (85%), placing it in the </w:t>
      </w:r>
      <w:r>
        <w:rPr>
          <w:b/>
          <w:bCs/>
          <w:color w:val="2E7D32"/>
          <w:sz w:val="20"/>
          <w:szCs w:val="20"/>
        </w:rPr>
        <w:t>LOW RISK (Green)</w:t>
      </w:r>
      <w:r>
        <w:rPr>
          <w:sz w:val="20"/>
          <w:szCs w:val="20"/>
        </w:rPr>
        <w:t xml:space="preserve"> tier. Category Manager may approve under standard MSA terms. Recommended monitoring: quarterly business reviews, SLA compliance tracking, and annual re-scoring.</w:t>
      </w:r>
    </w:p>
    <w:p w:rsidR="00D22AE7" w:rsidRDefault="00D22AE7">
      <w:pPr>
        <w:spacing w:before="80" w:after="0"/>
      </w:pPr>
    </w:p>
    <w:p w:rsidR="00D22AE7" w:rsidRDefault="005A1FFD">
      <w:pPr>
        <w:spacing w:after="80"/>
      </w:pPr>
      <w:r>
        <w:rPr>
          <w:b/>
          <w:bCs/>
          <w:color w:val="1B3A6B"/>
          <w:sz w:val="20"/>
          <w:szCs w:val="20"/>
        </w:rPr>
        <w:t xml:space="preserve">Note on Category 2 (Safety): </w:t>
      </w:r>
      <w:r>
        <w:rPr>
          <w:i/>
          <w:iCs/>
          <w:color w:val="4B5563"/>
          <w:sz w:val="20"/>
          <w:szCs w:val="20"/>
        </w:rPr>
        <w:t>For office-based and professional service vendors, Safety Perfor</w:t>
      </w:r>
      <w:r>
        <w:rPr>
          <w:i/>
          <w:iCs/>
          <w:color w:val="4B5563"/>
          <w:sz w:val="20"/>
          <w:szCs w:val="20"/>
        </w:rPr>
        <w:t>mance scoring focuses on workplace incident records, OSHA compliance, documented health and wellness programs, and any DOL or employment-related enforcement actions. Field-based equivalents (TRIR, EMR) are not applicable for this vendor type.</w:t>
      </w:r>
    </w:p>
    <w:p w:rsidR="00D22AE7" w:rsidRDefault="00D22AE7">
      <w:pPr>
        <w:spacing w:before="180" w:after="0"/>
      </w:pP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D22AE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B3A6B"/>
            <w:tcMar>
              <w:top w:w="140" w:type="dxa"/>
              <w:left w:w="200" w:type="dxa"/>
              <w:bottom w:w="140" w:type="dxa"/>
              <w:right w:w="200" w:type="dxa"/>
            </w:tcMar>
          </w:tcPr>
          <w:p w:rsidR="00D22AE7" w:rsidRDefault="005A1FFD">
            <w:r>
              <w:rPr>
                <w:b/>
                <w:bCs/>
                <w:color w:val="FFFFFF"/>
                <w:sz w:val="28"/>
                <w:szCs w:val="28"/>
              </w:rPr>
              <w:t>SECTION F: D</w:t>
            </w:r>
            <w:r>
              <w:rPr>
                <w:b/>
                <w:bCs/>
                <w:color w:val="FFFFFF"/>
                <w:sz w:val="28"/>
                <w:szCs w:val="28"/>
              </w:rPr>
              <w:t>ecision-Making Framework</w:t>
            </w:r>
          </w:p>
        </w:tc>
      </w:tr>
    </w:tbl>
    <w:p w:rsidR="00D22AE7" w:rsidRDefault="00D22AE7">
      <w:pPr>
        <w:spacing w:before="100" w:after="0"/>
      </w:pPr>
    </w:p>
    <w:p w:rsidR="00D22AE7" w:rsidRDefault="005A1FFD">
      <w:pPr>
        <w:spacing w:after="100" w:line="264" w:lineRule="auto"/>
      </w:pPr>
      <w:r>
        <w:t>The following framework maps composite scores to approval authorities, required actions, and contract enhancements. All decisions must be documented in the vendor file and linked to this scoring matrix.</w:t>
      </w:r>
    </w:p>
    <w:p w:rsidR="00D22AE7" w:rsidRDefault="00D22AE7">
      <w:pPr>
        <w:spacing w:before="80" w:after="0"/>
      </w:pPr>
    </w:p>
    <w:tbl>
      <w:tblPr>
        <w:tblW w:w="10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00"/>
        <w:gridCol w:w="1400"/>
        <w:gridCol w:w="2880"/>
        <w:gridCol w:w="3680"/>
      </w:tblGrid>
      <w:tr w:rsidR="00D22AE7">
        <w:tblPrEx>
          <w:tblCellMar>
            <w:top w:w="0" w:type="dxa"/>
            <w:bottom w:w="0" w:type="dxa"/>
          </w:tblCellMar>
        </w:tblPrEx>
        <w:trPr>
          <w:tblHeader/>
        </w:trPr>
        <w:tc>
          <w:tcPr>
            <w:tcW w:w="1400" w:type="dxa"/>
            <w:tcBorders>
              <w:top w:val="single" w:sz="6" w:space="0" w:color="B8C5D6"/>
              <w:left w:val="single" w:sz="6" w:space="0" w:color="B8C5D6"/>
              <w:bottom w:val="single" w:sz="6" w:space="0" w:color="B8C5D6"/>
              <w:right w:val="single" w:sz="6" w:space="0" w:color="B8C5D6"/>
            </w:tcBorders>
            <w:shd w:val="clear" w:color="auto" w:fill="1B3A6B"/>
            <w:tcMar>
              <w:top w:w="100" w:type="dxa"/>
              <w:left w:w="100" w:type="dxa"/>
              <w:bottom w:w="100" w:type="dxa"/>
              <w:right w:w="100" w:type="dxa"/>
            </w:tcMar>
            <w:vAlign w:val="center"/>
          </w:tcPr>
          <w:p w:rsidR="00D22AE7" w:rsidRDefault="005A1FFD">
            <w:pPr>
              <w:jc w:val="center"/>
            </w:pPr>
            <w:r>
              <w:rPr>
                <w:b/>
                <w:bCs/>
                <w:color w:val="FFFFFF"/>
                <w:sz w:val="20"/>
                <w:szCs w:val="20"/>
              </w:rPr>
              <w:t>Risk Level</w:t>
            </w:r>
          </w:p>
        </w:tc>
        <w:tc>
          <w:tcPr>
            <w:tcW w:w="1400" w:type="dxa"/>
            <w:tcBorders>
              <w:top w:val="single" w:sz="6" w:space="0" w:color="B8C5D6"/>
              <w:left w:val="single" w:sz="6" w:space="0" w:color="B8C5D6"/>
              <w:bottom w:val="single" w:sz="6" w:space="0" w:color="B8C5D6"/>
              <w:right w:val="single" w:sz="6" w:space="0" w:color="B8C5D6"/>
            </w:tcBorders>
            <w:shd w:val="clear" w:color="auto" w:fill="1B3A6B"/>
            <w:tcMar>
              <w:top w:w="100" w:type="dxa"/>
              <w:left w:w="100" w:type="dxa"/>
              <w:bottom w:w="100" w:type="dxa"/>
              <w:right w:w="100" w:type="dxa"/>
            </w:tcMar>
            <w:vAlign w:val="center"/>
          </w:tcPr>
          <w:p w:rsidR="00D22AE7" w:rsidRDefault="005A1FFD">
            <w:pPr>
              <w:jc w:val="center"/>
            </w:pPr>
            <w:r>
              <w:rPr>
                <w:b/>
                <w:bCs/>
                <w:color w:val="FFFFFF"/>
                <w:sz w:val="20"/>
                <w:szCs w:val="20"/>
              </w:rPr>
              <w:t>Approval Authority</w:t>
            </w:r>
          </w:p>
        </w:tc>
        <w:tc>
          <w:tcPr>
            <w:tcW w:w="2880" w:type="dxa"/>
            <w:tcBorders>
              <w:top w:val="single" w:sz="6" w:space="0" w:color="B8C5D6"/>
              <w:left w:val="single" w:sz="6" w:space="0" w:color="B8C5D6"/>
              <w:bottom w:val="single" w:sz="6" w:space="0" w:color="B8C5D6"/>
              <w:right w:val="single" w:sz="6" w:space="0" w:color="B8C5D6"/>
            </w:tcBorders>
            <w:shd w:val="clear" w:color="auto" w:fill="1B3A6B"/>
            <w:tcMar>
              <w:top w:w="100" w:type="dxa"/>
              <w:left w:w="100" w:type="dxa"/>
              <w:bottom w:w="100" w:type="dxa"/>
              <w:right w:w="100" w:type="dxa"/>
            </w:tcMar>
            <w:vAlign w:val="center"/>
          </w:tcPr>
          <w:p w:rsidR="00D22AE7" w:rsidRDefault="005A1FFD">
            <w:pPr>
              <w:jc w:val="center"/>
            </w:pPr>
            <w:r>
              <w:rPr>
                <w:b/>
                <w:bCs/>
                <w:color w:val="FFFFFF"/>
                <w:sz w:val="20"/>
                <w:szCs w:val="20"/>
              </w:rPr>
              <w:t>Required Actions</w:t>
            </w:r>
          </w:p>
        </w:tc>
        <w:tc>
          <w:tcPr>
            <w:tcW w:w="3680" w:type="dxa"/>
            <w:tcBorders>
              <w:top w:val="single" w:sz="6" w:space="0" w:color="B8C5D6"/>
              <w:left w:val="single" w:sz="6" w:space="0" w:color="B8C5D6"/>
              <w:bottom w:val="single" w:sz="6" w:space="0" w:color="B8C5D6"/>
              <w:right w:val="single" w:sz="6" w:space="0" w:color="B8C5D6"/>
            </w:tcBorders>
            <w:shd w:val="clear" w:color="auto" w:fill="1B3A6B"/>
            <w:tcMar>
              <w:top w:w="100" w:type="dxa"/>
              <w:left w:w="100" w:type="dxa"/>
              <w:bottom w:w="100" w:type="dxa"/>
              <w:right w:w="100" w:type="dxa"/>
            </w:tcMar>
            <w:vAlign w:val="center"/>
          </w:tcPr>
          <w:p w:rsidR="00D22AE7" w:rsidRDefault="005A1FFD">
            <w:pPr>
              <w:jc w:val="center"/>
            </w:pPr>
            <w:r>
              <w:rPr>
                <w:b/>
                <w:bCs/>
                <w:color w:val="FFFFFF"/>
                <w:sz w:val="20"/>
                <w:szCs w:val="20"/>
              </w:rPr>
              <w:t>Contr</w:t>
            </w:r>
            <w:r>
              <w:rPr>
                <w:b/>
                <w:bCs/>
                <w:color w:val="FFFFFF"/>
                <w:sz w:val="20"/>
                <w:szCs w:val="20"/>
              </w:rPr>
              <w:t>act Enhancements</w:t>
            </w:r>
          </w:p>
        </w:tc>
      </w:tr>
      <w:tr w:rsidR="00D22AE7">
        <w:tblPrEx>
          <w:tblCellMar>
            <w:top w:w="0" w:type="dxa"/>
            <w:bottom w:w="0" w:type="dxa"/>
          </w:tblCellMar>
        </w:tblPrEx>
        <w:tc>
          <w:tcPr>
            <w:tcW w:w="1400" w:type="dxa"/>
            <w:tcBorders>
              <w:top w:val="single" w:sz="6" w:space="0" w:color="B8C5D6"/>
              <w:left w:val="single" w:sz="6" w:space="0" w:color="B8C5D6"/>
              <w:bottom w:val="single" w:sz="6" w:space="0" w:color="B8C5D6"/>
              <w:right w:val="single" w:sz="6" w:space="0" w:color="B8C5D6"/>
            </w:tcBorders>
            <w:shd w:val="clear" w:color="auto" w:fill="E8F5E9"/>
            <w:tcMar>
              <w:top w:w="80" w:type="dxa"/>
              <w:left w:w="100" w:type="dxa"/>
              <w:bottom w:w="80" w:type="dxa"/>
              <w:right w:w="100" w:type="dxa"/>
            </w:tcMar>
            <w:vAlign w:val="center"/>
          </w:tcPr>
          <w:p w:rsidR="00D22AE7" w:rsidRDefault="005A1FFD">
            <w:pPr>
              <w:jc w:val="center"/>
            </w:pPr>
            <w:r>
              <w:rPr>
                <w:b/>
                <w:bCs/>
                <w:color w:val="1B5E20"/>
                <w:sz w:val="20"/>
                <w:szCs w:val="20"/>
              </w:rPr>
              <w:t>LOW RISK (320–400)</w:t>
            </w:r>
          </w:p>
        </w:tc>
        <w:tc>
          <w:tcPr>
            <w:tcW w:w="1400" w:type="dxa"/>
            <w:tcBorders>
              <w:top w:val="single" w:sz="6" w:space="0" w:color="B8C5D6"/>
              <w:left w:val="single" w:sz="6" w:space="0" w:color="B8C5D6"/>
              <w:bottom w:val="single" w:sz="6" w:space="0" w:color="B8C5D6"/>
              <w:right w:val="single" w:sz="6" w:space="0" w:color="B8C5D6"/>
            </w:tcBorders>
            <w:shd w:val="clear" w:color="auto" w:fill="E8F5E9"/>
            <w:tcMar>
              <w:top w:w="80" w:type="dxa"/>
              <w:left w:w="100" w:type="dxa"/>
              <w:bottom w:w="80" w:type="dxa"/>
              <w:right w:w="100" w:type="dxa"/>
            </w:tcMar>
            <w:vAlign w:val="center"/>
          </w:tcPr>
          <w:p w:rsidR="00D22AE7" w:rsidRDefault="005A1FFD">
            <w:pPr>
              <w:jc w:val="center"/>
            </w:pPr>
            <w:r>
              <w:rPr>
                <w:color w:val="000000"/>
                <w:sz w:val="20"/>
                <w:szCs w:val="20"/>
              </w:rPr>
              <w:t>Category Manager</w:t>
            </w:r>
          </w:p>
        </w:tc>
        <w:tc>
          <w:tcPr>
            <w:tcW w:w="2880" w:type="dxa"/>
            <w:tcBorders>
              <w:top w:val="single" w:sz="6" w:space="0" w:color="B8C5D6"/>
              <w:left w:val="single" w:sz="6" w:space="0" w:color="B8C5D6"/>
              <w:bottom w:val="single" w:sz="6" w:space="0" w:color="B8C5D6"/>
              <w:right w:val="single" w:sz="6" w:space="0" w:color="B8C5D6"/>
            </w:tcBorders>
            <w:shd w:val="clear" w:color="auto" w:fill="E8F5E9"/>
            <w:tcMar>
              <w:top w:w="80" w:type="dxa"/>
              <w:left w:w="100" w:type="dxa"/>
              <w:bottom w:w="80" w:type="dxa"/>
              <w:right w:w="100" w:type="dxa"/>
            </w:tcMar>
          </w:tcPr>
          <w:p w:rsidR="00D22AE7" w:rsidRDefault="005A1FFD">
            <w:r>
              <w:rPr>
                <w:sz w:val="20"/>
                <w:szCs w:val="20"/>
              </w:rPr>
              <w:t>Standard due diligence completed</w:t>
            </w:r>
          </w:p>
          <w:p w:rsidR="00D22AE7" w:rsidRDefault="005A1FFD">
            <w:r>
              <w:rPr>
                <w:sz w:val="20"/>
                <w:szCs w:val="20"/>
              </w:rPr>
              <w:t>Annual re-scoring and vendor review</w:t>
            </w:r>
          </w:p>
          <w:p w:rsidR="00D22AE7" w:rsidRDefault="005A1FFD">
            <w:r>
              <w:rPr>
                <w:sz w:val="20"/>
                <w:szCs w:val="20"/>
              </w:rPr>
              <w:t>Quarterly business reviews (QBR)</w:t>
            </w:r>
          </w:p>
        </w:tc>
        <w:tc>
          <w:tcPr>
            <w:tcW w:w="3680" w:type="dxa"/>
            <w:tcBorders>
              <w:top w:val="single" w:sz="6" w:space="0" w:color="B8C5D6"/>
              <w:left w:val="single" w:sz="6" w:space="0" w:color="B8C5D6"/>
              <w:bottom w:val="single" w:sz="6" w:space="0" w:color="B8C5D6"/>
              <w:right w:val="single" w:sz="6" w:space="0" w:color="B8C5D6"/>
            </w:tcBorders>
            <w:shd w:val="clear" w:color="auto" w:fill="E8F5E9"/>
            <w:tcMar>
              <w:top w:w="80" w:type="dxa"/>
              <w:left w:w="100" w:type="dxa"/>
              <w:bottom w:w="80" w:type="dxa"/>
              <w:right w:w="100" w:type="dxa"/>
            </w:tcMar>
          </w:tcPr>
          <w:p w:rsidR="00D22AE7" w:rsidRDefault="005A1FFD">
            <w:r>
              <w:rPr>
                <w:sz w:val="20"/>
                <w:szCs w:val="20"/>
              </w:rPr>
              <w:t>Standard Master Service Agreement (MSA) terms</w:t>
            </w:r>
          </w:p>
          <w:p w:rsidR="00D22AE7" w:rsidRDefault="005A1FFD">
            <w:r>
              <w:rPr>
                <w:sz w:val="20"/>
                <w:szCs w:val="20"/>
              </w:rPr>
              <w:t>Standard SLA definitions and remedies</w:t>
            </w:r>
          </w:p>
          <w:p w:rsidR="00D22AE7" w:rsidRDefault="005A1FFD">
            <w:r>
              <w:rPr>
                <w:sz w:val="20"/>
                <w:szCs w:val="20"/>
              </w:rPr>
              <w:t>Standard insurance requirements</w:t>
            </w:r>
          </w:p>
        </w:tc>
      </w:tr>
      <w:tr w:rsidR="00D22AE7">
        <w:tblPrEx>
          <w:tblCellMar>
            <w:top w:w="0" w:type="dxa"/>
            <w:bottom w:w="0" w:type="dxa"/>
          </w:tblCellMar>
        </w:tblPrEx>
        <w:tc>
          <w:tcPr>
            <w:tcW w:w="1400" w:type="dxa"/>
            <w:tcBorders>
              <w:top w:val="single" w:sz="6" w:space="0" w:color="B8C5D6"/>
              <w:left w:val="single" w:sz="6" w:space="0" w:color="B8C5D6"/>
              <w:bottom w:val="single" w:sz="6" w:space="0" w:color="B8C5D6"/>
              <w:right w:val="single" w:sz="6" w:space="0" w:color="B8C5D6"/>
            </w:tcBorders>
            <w:shd w:val="clear" w:color="auto" w:fill="FFFDE7"/>
            <w:tcMar>
              <w:top w:w="80" w:type="dxa"/>
              <w:left w:w="100" w:type="dxa"/>
              <w:bottom w:w="80" w:type="dxa"/>
              <w:right w:w="100" w:type="dxa"/>
            </w:tcMar>
            <w:vAlign w:val="center"/>
          </w:tcPr>
          <w:p w:rsidR="00D22AE7" w:rsidRDefault="005A1FFD">
            <w:pPr>
              <w:jc w:val="center"/>
            </w:pPr>
            <w:r>
              <w:rPr>
                <w:b/>
                <w:bCs/>
                <w:color w:val="7B4F00"/>
                <w:sz w:val="20"/>
                <w:szCs w:val="20"/>
              </w:rPr>
              <w:t>MEDIUM RISK (240–319)</w:t>
            </w:r>
          </w:p>
        </w:tc>
        <w:tc>
          <w:tcPr>
            <w:tcW w:w="1400" w:type="dxa"/>
            <w:tcBorders>
              <w:top w:val="single" w:sz="6" w:space="0" w:color="B8C5D6"/>
              <w:left w:val="single" w:sz="6" w:space="0" w:color="B8C5D6"/>
              <w:bottom w:val="single" w:sz="6" w:space="0" w:color="B8C5D6"/>
              <w:right w:val="single" w:sz="6" w:space="0" w:color="B8C5D6"/>
            </w:tcBorders>
            <w:shd w:val="clear" w:color="auto" w:fill="FFFDE7"/>
            <w:tcMar>
              <w:top w:w="80" w:type="dxa"/>
              <w:left w:w="100" w:type="dxa"/>
              <w:bottom w:w="80" w:type="dxa"/>
              <w:right w:w="100" w:type="dxa"/>
            </w:tcMar>
            <w:vAlign w:val="center"/>
          </w:tcPr>
          <w:p w:rsidR="00D22AE7" w:rsidRDefault="005A1FFD">
            <w:pPr>
              <w:jc w:val="center"/>
            </w:pPr>
            <w:r>
              <w:rPr>
                <w:color w:val="000000"/>
                <w:sz w:val="20"/>
                <w:szCs w:val="20"/>
              </w:rPr>
              <w:t>Director Level</w:t>
            </w:r>
          </w:p>
        </w:tc>
        <w:tc>
          <w:tcPr>
            <w:tcW w:w="2880" w:type="dxa"/>
            <w:tcBorders>
              <w:top w:val="single" w:sz="6" w:space="0" w:color="B8C5D6"/>
              <w:left w:val="single" w:sz="6" w:space="0" w:color="B8C5D6"/>
              <w:bottom w:val="single" w:sz="6" w:space="0" w:color="B8C5D6"/>
              <w:right w:val="single" w:sz="6" w:space="0" w:color="B8C5D6"/>
            </w:tcBorders>
            <w:shd w:val="clear" w:color="auto" w:fill="FFFDE7"/>
            <w:tcMar>
              <w:top w:w="80" w:type="dxa"/>
              <w:left w:w="100" w:type="dxa"/>
              <w:bottom w:w="80" w:type="dxa"/>
              <w:right w:w="100" w:type="dxa"/>
            </w:tcMar>
          </w:tcPr>
          <w:p w:rsidR="00D22AE7" w:rsidRDefault="005A1FFD">
            <w:r>
              <w:rPr>
                <w:sz w:val="20"/>
                <w:szCs w:val="20"/>
              </w:rPr>
              <w:t>Enhanced due diligence on identified risk areas</w:t>
            </w:r>
          </w:p>
          <w:p w:rsidR="00D22AE7" w:rsidRDefault="005A1FFD">
            <w:r>
              <w:rPr>
                <w:sz w:val="20"/>
                <w:szCs w:val="20"/>
              </w:rPr>
              <w:t>Quarterly performance reviews (mandatory)</w:t>
            </w:r>
          </w:p>
          <w:p w:rsidR="00D22AE7" w:rsidRDefault="005A1FFD">
            <w:r>
              <w:rPr>
                <w:sz w:val="20"/>
                <w:szCs w:val="20"/>
              </w:rPr>
              <w:t>Bi-annual re-scoring</w:t>
            </w:r>
          </w:p>
          <w:p w:rsidR="00D22AE7" w:rsidRDefault="005A1FFD">
            <w:r>
              <w:rPr>
                <w:sz w:val="20"/>
                <w:szCs w:val="20"/>
              </w:rPr>
              <w:t>Assigned WWRGD relationship manager</w:t>
            </w:r>
          </w:p>
        </w:tc>
        <w:tc>
          <w:tcPr>
            <w:tcW w:w="3680" w:type="dxa"/>
            <w:tcBorders>
              <w:top w:val="single" w:sz="6" w:space="0" w:color="B8C5D6"/>
              <w:left w:val="single" w:sz="6" w:space="0" w:color="B8C5D6"/>
              <w:bottom w:val="single" w:sz="6" w:space="0" w:color="B8C5D6"/>
              <w:right w:val="single" w:sz="6" w:space="0" w:color="B8C5D6"/>
            </w:tcBorders>
            <w:shd w:val="clear" w:color="auto" w:fill="FFFDE7"/>
            <w:tcMar>
              <w:top w:w="80" w:type="dxa"/>
              <w:left w:w="100" w:type="dxa"/>
              <w:bottom w:w="80" w:type="dxa"/>
              <w:right w:w="100" w:type="dxa"/>
            </w:tcMar>
          </w:tcPr>
          <w:p w:rsidR="00D22AE7" w:rsidRDefault="005A1FFD">
            <w:r>
              <w:rPr>
                <w:sz w:val="20"/>
                <w:szCs w:val="20"/>
              </w:rPr>
              <w:t>Performance guarantees and SLA penalties with escalation provisions</w:t>
            </w:r>
          </w:p>
          <w:p w:rsidR="00D22AE7" w:rsidRDefault="005A1FFD">
            <w:r>
              <w:rPr>
                <w:sz w:val="20"/>
                <w:szCs w:val="20"/>
              </w:rPr>
              <w:t>Parent company guarantee or letter of credit (where applicable)</w:t>
            </w:r>
          </w:p>
          <w:p w:rsidR="00D22AE7" w:rsidRDefault="005A1FFD">
            <w:r>
              <w:rPr>
                <w:sz w:val="20"/>
                <w:szCs w:val="20"/>
              </w:rPr>
              <w:t>Enhanced insurance requirements; additional insured status</w:t>
            </w:r>
          </w:p>
          <w:p w:rsidR="00D22AE7" w:rsidRDefault="005A1FFD">
            <w:r>
              <w:rPr>
                <w:sz w:val="20"/>
                <w:szCs w:val="20"/>
              </w:rPr>
              <w:t>Termination for convenience p</w:t>
            </w:r>
            <w:r>
              <w:rPr>
                <w:sz w:val="20"/>
                <w:szCs w:val="20"/>
              </w:rPr>
              <w:t>rovisions with reduced notice period</w:t>
            </w:r>
          </w:p>
        </w:tc>
      </w:tr>
      <w:tr w:rsidR="00D22AE7">
        <w:tblPrEx>
          <w:tblCellMar>
            <w:top w:w="0" w:type="dxa"/>
            <w:bottom w:w="0" w:type="dxa"/>
          </w:tblCellMar>
        </w:tblPrEx>
        <w:tc>
          <w:tcPr>
            <w:tcW w:w="1400" w:type="dxa"/>
            <w:tcBorders>
              <w:top w:val="single" w:sz="6" w:space="0" w:color="B8C5D6"/>
              <w:left w:val="single" w:sz="6" w:space="0" w:color="B8C5D6"/>
              <w:bottom w:val="single" w:sz="6" w:space="0" w:color="B8C5D6"/>
              <w:right w:val="single" w:sz="6" w:space="0" w:color="B8C5D6"/>
            </w:tcBorders>
            <w:shd w:val="clear" w:color="auto" w:fill="FBE9E7"/>
            <w:tcMar>
              <w:top w:w="80" w:type="dxa"/>
              <w:left w:w="100" w:type="dxa"/>
              <w:bottom w:w="80" w:type="dxa"/>
              <w:right w:w="100" w:type="dxa"/>
            </w:tcMar>
            <w:vAlign w:val="center"/>
          </w:tcPr>
          <w:p w:rsidR="00D22AE7" w:rsidRDefault="005A1FFD">
            <w:pPr>
              <w:jc w:val="center"/>
            </w:pPr>
            <w:r>
              <w:rPr>
                <w:b/>
                <w:bCs/>
                <w:color w:val="7B2000"/>
                <w:sz w:val="20"/>
                <w:szCs w:val="20"/>
              </w:rPr>
              <w:t>HIGH RISK (160–239)</w:t>
            </w:r>
          </w:p>
        </w:tc>
        <w:tc>
          <w:tcPr>
            <w:tcW w:w="1400" w:type="dxa"/>
            <w:tcBorders>
              <w:top w:val="single" w:sz="6" w:space="0" w:color="B8C5D6"/>
              <w:left w:val="single" w:sz="6" w:space="0" w:color="B8C5D6"/>
              <w:bottom w:val="single" w:sz="6" w:space="0" w:color="B8C5D6"/>
              <w:right w:val="single" w:sz="6" w:space="0" w:color="B8C5D6"/>
            </w:tcBorders>
            <w:shd w:val="clear" w:color="auto" w:fill="FBE9E7"/>
            <w:tcMar>
              <w:top w:w="80" w:type="dxa"/>
              <w:left w:w="100" w:type="dxa"/>
              <w:bottom w:w="80" w:type="dxa"/>
              <w:right w:w="100" w:type="dxa"/>
            </w:tcMar>
            <w:vAlign w:val="center"/>
          </w:tcPr>
          <w:p w:rsidR="00D22AE7" w:rsidRDefault="005A1FFD">
            <w:pPr>
              <w:jc w:val="center"/>
            </w:pPr>
            <w:r>
              <w:rPr>
                <w:color w:val="000000"/>
                <w:sz w:val="20"/>
                <w:szCs w:val="20"/>
              </w:rPr>
              <w:t>VP / Executive</w:t>
            </w:r>
          </w:p>
        </w:tc>
        <w:tc>
          <w:tcPr>
            <w:tcW w:w="2880" w:type="dxa"/>
            <w:tcBorders>
              <w:top w:val="single" w:sz="6" w:space="0" w:color="B8C5D6"/>
              <w:left w:val="single" w:sz="6" w:space="0" w:color="B8C5D6"/>
              <w:bottom w:val="single" w:sz="6" w:space="0" w:color="B8C5D6"/>
              <w:right w:val="single" w:sz="6" w:space="0" w:color="B8C5D6"/>
            </w:tcBorders>
            <w:shd w:val="clear" w:color="auto" w:fill="FBE9E7"/>
            <w:tcMar>
              <w:top w:w="80" w:type="dxa"/>
              <w:left w:w="100" w:type="dxa"/>
              <w:bottom w:w="80" w:type="dxa"/>
              <w:right w:w="100" w:type="dxa"/>
            </w:tcMar>
          </w:tcPr>
          <w:p w:rsidR="00D22AE7" w:rsidRDefault="005A1FFD">
            <w:r>
              <w:rPr>
                <w:sz w:val="20"/>
                <w:szCs w:val="20"/>
              </w:rPr>
              <w:t>VP/Executive sign-off required before engagement</w:t>
            </w:r>
          </w:p>
          <w:p w:rsidR="00D22AE7" w:rsidRDefault="005A1FFD">
            <w:r>
              <w:rPr>
                <w:sz w:val="20"/>
                <w:szCs w:val="20"/>
              </w:rPr>
              <w:t>Weekly performance reporting to WWRGD oversight lead</w:t>
            </w:r>
          </w:p>
          <w:p w:rsidR="00D22AE7" w:rsidRDefault="005A1FFD">
            <w:r>
              <w:rPr>
                <w:sz w:val="20"/>
                <w:szCs w:val="20"/>
              </w:rPr>
              <w:t>Dedicated WWRGD oversight resource assigned</w:t>
            </w:r>
          </w:p>
          <w:p w:rsidR="00D22AE7" w:rsidRDefault="005A1FFD">
            <w:r>
              <w:rPr>
                <w:sz w:val="20"/>
                <w:szCs w:val="20"/>
              </w:rPr>
              <w:t>Monthly re-scoring for duration of engagement</w:t>
            </w:r>
          </w:p>
          <w:p w:rsidR="00D22AE7" w:rsidRDefault="005A1FFD">
            <w:r>
              <w:rPr>
                <w:sz w:val="20"/>
                <w:szCs w:val="20"/>
              </w:rPr>
              <w:t>Formal risk mitigation plan required from vendor</w:t>
            </w:r>
          </w:p>
        </w:tc>
        <w:tc>
          <w:tcPr>
            <w:tcW w:w="3680" w:type="dxa"/>
            <w:tcBorders>
              <w:top w:val="single" w:sz="6" w:space="0" w:color="B8C5D6"/>
              <w:left w:val="single" w:sz="6" w:space="0" w:color="B8C5D6"/>
              <w:bottom w:val="single" w:sz="6" w:space="0" w:color="B8C5D6"/>
              <w:right w:val="single" w:sz="6" w:space="0" w:color="B8C5D6"/>
            </w:tcBorders>
            <w:shd w:val="clear" w:color="auto" w:fill="FBE9E7"/>
            <w:tcMar>
              <w:top w:w="80" w:type="dxa"/>
              <w:left w:w="100" w:type="dxa"/>
              <w:bottom w:w="80" w:type="dxa"/>
              <w:right w:w="100" w:type="dxa"/>
            </w:tcMar>
          </w:tcPr>
          <w:p w:rsidR="00D22AE7" w:rsidRDefault="005A1FFD">
            <w:r>
              <w:rPr>
                <w:sz w:val="20"/>
                <w:szCs w:val="20"/>
              </w:rPr>
              <w:t>Milestone-based payments (no lump-sum advance payments)</w:t>
            </w:r>
          </w:p>
          <w:p w:rsidR="00D22AE7" w:rsidRDefault="005A1FFD">
            <w:r>
              <w:rPr>
                <w:sz w:val="20"/>
                <w:szCs w:val="20"/>
              </w:rPr>
              <w:t>Phased engagement structure with WWRGD go/no-go checkpoints</w:t>
            </w:r>
          </w:p>
          <w:p w:rsidR="00D22AE7" w:rsidRDefault="005A1FFD">
            <w:r>
              <w:rPr>
                <w:sz w:val="20"/>
                <w:szCs w:val="20"/>
              </w:rPr>
              <w:t>R</w:t>
            </w:r>
            <w:r>
              <w:rPr>
                <w:sz w:val="20"/>
                <w:szCs w:val="20"/>
              </w:rPr>
              <w:t>educed scope to manageable risk exposure</w:t>
            </w:r>
          </w:p>
          <w:p w:rsidR="00D22AE7" w:rsidRDefault="005A1FFD">
            <w:r>
              <w:rPr>
                <w:sz w:val="20"/>
                <w:szCs w:val="20"/>
              </w:rPr>
              <w:t>Performance bonds or bank guarantees; escrow arrangement</w:t>
            </w:r>
          </w:p>
          <w:p w:rsidR="00D22AE7" w:rsidRDefault="005A1FFD">
            <w:r>
              <w:rPr>
                <w:sz w:val="20"/>
                <w:szCs w:val="20"/>
              </w:rPr>
              <w:t>Heightened audit rights and step-in rights</w:t>
            </w:r>
          </w:p>
          <w:p w:rsidR="00D22AE7" w:rsidRDefault="005A1FFD">
            <w:r>
              <w:rPr>
                <w:sz w:val="20"/>
                <w:szCs w:val="20"/>
              </w:rPr>
              <w:t>Aggressive liquidated damages and SLA penalty regime</w:t>
            </w:r>
          </w:p>
        </w:tc>
      </w:tr>
      <w:tr w:rsidR="00D22AE7">
        <w:tblPrEx>
          <w:tblCellMar>
            <w:top w:w="0" w:type="dxa"/>
            <w:bottom w:w="0" w:type="dxa"/>
          </w:tblCellMar>
        </w:tblPrEx>
        <w:tc>
          <w:tcPr>
            <w:tcW w:w="1400" w:type="dxa"/>
            <w:tcBorders>
              <w:top w:val="single" w:sz="6" w:space="0" w:color="B8C5D6"/>
              <w:left w:val="single" w:sz="6" w:space="0" w:color="B8C5D6"/>
              <w:bottom w:val="single" w:sz="6" w:space="0" w:color="B8C5D6"/>
              <w:right w:val="single" w:sz="6" w:space="0" w:color="B8C5D6"/>
            </w:tcBorders>
            <w:shd w:val="clear" w:color="auto" w:fill="FFEBEE"/>
            <w:tcMar>
              <w:top w:w="80" w:type="dxa"/>
              <w:left w:w="100" w:type="dxa"/>
              <w:bottom w:w="80" w:type="dxa"/>
              <w:right w:w="100" w:type="dxa"/>
            </w:tcMar>
            <w:vAlign w:val="center"/>
          </w:tcPr>
          <w:p w:rsidR="00D22AE7" w:rsidRDefault="005A1FFD">
            <w:pPr>
              <w:jc w:val="center"/>
            </w:pPr>
            <w:r>
              <w:rPr>
                <w:b/>
                <w:bCs/>
                <w:color w:val="7B0000"/>
                <w:sz w:val="20"/>
                <w:szCs w:val="20"/>
              </w:rPr>
              <w:t>CRITICAL RISK (&lt; 160)</w:t>
            </w:r>
          </w:p>
        </w:tc>
        <w:tc>
          <w:tcPr>
            <w:tcW w:w="1400" w:type="dxa"/>
            <w:tcBorders>
              <w:top w:val="single" w:sz="6" w:space="0" w:color="B8C5D6"/>
              <w:left w:val="single" w:sz="6" w:space="0" w:color="B8C5D6"/>
              <w:bottom w:val="single" w:sz="6" w:space="0" w:color="B8C5D6"/>
              <w:right w:val="single" w:sz="6" w:space="0" w:color="B8C5D6"/>
            </w:tcBorders>
            <w:shd w:val="clear" w:color="auto" w:fill="FFEBEE"/>
            <w:tcMar>
              <w:top w:w="80" w:type="dxa"/>
              <w:left w:w="100" w:type="dxa"/>
              <w:bottom w:w="80" w:type="dxa"/>
              <w:right w:w="100" w:type="dxa"/>
            </w:tcMar>
            <w:vAlign w:val="center"/>
          </w:tcPr>
          <w:p w:rsidR="00D22AE7" w:rsidRDefault="005A1FFD">
            <w:pPr>
              <w:jc w:val="center"/>
            </w:pPr>
            <w:r>
              <w:rPr>
                <w:b/>
                <w:bCs/>
                <w:color w:val="C62828"/>
                <w:sz w:val="20"/>
                <w:szCs w:val="20"/>
              </w:rPr>
              <w:t>Disqualify</w:t>
            </w:r>
          </w:p>
        </w:tc>
        <w:tc>
          <w:tcPr>
            <w:tcW w:w="2880" w:type="dxa"/>
            <w:tcBorders>
              <w:top w:val="single" w:sz="6" w:space="0" w:color="B8C5D6"/>
              <w:left w:val="single" w:sz="6" w:space="0" w:color="B8C5D6"/>
              <w:bottom w:val="single" w:sz="6" w:space="0" w:color="B8C5D6"/>
              <w:right w:val="single" w:sz="6" w:space="0" w:color="B8C5D6"/>
            </w:tcBorders>
            <w:shd w:val="clear" w:color="auto" w:fill="FFEBEE"/>
            <w:tcMar>
              <w:top w:w="80" w:type="dxa"/>
              <w:left w:w="100" w:type="dxa"/>
              <w:bottom w:w="80" w:type="dxa"/>
              <w:right w:w="100" w:type="dxa"/>
            </w:tcMar>
          </w:tcPr>
          <w:p w:rsidR="00D22AE7" w:rsidRDefault="005A1FFD">
            <w:r>
              <w:rPr>
                <w:sz w:val="20"/>
                <w:szCs w:val="20"/>
              </w:rPr>
              <w:t>Issue formal rejection letter to vendor</w:t>
            </w:r>
          </w:p>
          <w:p w:rsidR="00D22AE7" w:rsidRDefault="005A1FFD">
            <w:r>
              <w:rPr>
                <w:sz w:val="20"/>
                <w:szCs w:val="20"/>
              </w:rPr>
              <w:t>Document specific deficiencies in vendor record</w:t>
            </w:r>
          </w:p>
          <w:p w:rsidR="00D22AE7" w:rsidRDefault="005A1FFD">
            <w:r>
              <w:rPr>
                <w:sz w:val="20"/>
                <w:szCs w:val="20"/>
              </w:rPr>
              <w:t>Communicate remediation requirements if re-application is possible</w:t>
            </w:r>
          </w:p>
          <w:p w:rsidR="00D22AE7" w:rsidRDefault="005A1FFD">
            <w:r>
              <w:rPr>
                <w:sz w:val="20"/>
                <w:szCs w:val="20"/>
              </w:rPr>
              <w:t>Initiate alternative vendor identification process</w:t>
            </w:r>
          </w:p>
        </w:tc>
        <w:tc>
          <w:tcPr>
            <w:tcW w:w="3680" w:type="dxa"/>
            <w:tcBorders>
              <w:top w:val="single" w:sz="6" w:space="0" w:color="B8C5D6"/>
              <w:left w:val="single" w:sz="6" w:space="0" w:color="B8C5D6"/>
              <w:bottom w:val="single" w:sz="6" w:space="0" w:color="B8C5D6"/>
              <w:right w:val="single" w:sz="6" w:space="0" w:color="B8C5D6"/>
            </w:tcBorders>
            <w:shd w:val="clear" w:color="auto" w:fill="FFEBEE"/>
            <w:tcMar>
              <w:top w:w="80" w:type="dxa"/>
              <w:left w:w="100" w:type="dxa"/>
              <w:bottom w:w="80" w:type="dxa"/>
              <w:right w:w="100" w:type="dxa"/>
            </w:tcMar>
          </w:tcPr>
          <w:p w:rsidR="00D22AE7" w:rsidRDefault="005A1FFD">
            <w:r>
              <w:rPr>
                <w:sz w:val="20"/>
                <w:szCs w:val="20"/>
              </w:rPr>
              <w:t>No engagement without full re-evaluation and re-scoring</w:t>
            </w:r>
          </w:p>
          <w:p w:rsidR="00D22AE7" w:rsidRDefault="005A1FFD">
            <w:r>
              <w:rPr>
                <w:sz w:val="20"/>
                <w:szCs w:val="20"/>
              </w:rPr>
              <w:t>Minimum 12-month waiting period before re-application</w:t>
            </w:r>
          </w:p>
          <w:p w:rsidR="00D22AE7" w:rsidRDefault="005A1FFD">
            <w:r>
              <w:rPr>
                <w:sz w:val="20"/>
                <w:szCs w:val="20"/>
              </w:rPr>
              <w:t>Re-evaluation requires evidence of material improvement in failed categories</w:t>
            </w:r>
          </w:p>
        </w:tc>
      </w:tr>
    </w:tbl>
    <w:p w:rsidR="00D22AE7" w:rsidRDefault="00D22AE7">
      <w:pPr>
        <w:spacing w:before="180" w:after="0"/>
      </w:pP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D22AE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B3A6B"/>
            <w:tcMar>
              <w:top w:w="140" w:type="dxa"/>
              <w:left w:w="200" w:type="dxa"/>
              <w:bottom w:w="140" w:type="dxa"/>
              <w:right w:w="200" w:type="dxa"/>
            </w:tcMar>
          </w:tcPr>
          <w:p w:rsidR="00D22AE7" w:rsidRDefault="005A1FFD">
            <w:r>
              <w:rPr>
                <w:b/>
                <w:bCs/>
                <w:color w:val="FFFFFF"/>
                <w:sz w:val="28"/>
                <w:szCs w:val="28"/>
              </w:rPr>
              <w:t>APPENDIX: Vendor Category-Specific Guidance</w:t>
            </w:r>
          </w:p>
        </w:tc>
      </w:tr>
    </w:tbl>
    <w:p w:rsidR="00D22AE7" w:rsidRDefault="00D22AE7">
      <w:pPr>
        <w:spacing w:before="100" w:after="0"/>
      </w:pPr>
    </w:p>
    <w:p w:rsidR="00D22AE7" w:rsidRDefault="005A1FFD">
      <w:pPr>
        <w:spacing w:after="100" w:line="264" w:lineRule="auto"/>
      </w:pPr>
      <w:r>
        <w:t>This appendix provides supplemental guidance for applying the General Vendor Risk Scoring Matrix across the five primary non-GC vendor categories used by WWRGD. Evaluators should reference these notes when interpreting rubric criteria for vendor types wher</w:t>
      </w:r>
      <w:r>
        <w:t>e standard construction-sector metrics may not directly apply.</w:t>
      </w:r>
    </w:p>
    <w:p w:rsidR="00D22AE7" w:rsidRDefault="00D22AE7">
      <w:pPr>
        <w:spacing w:before="80" w:after="0"/>
      </w:pPr>
    </w:p>
    <w:tbl>
      <w:tblPr>
        <w:tblW w:w="10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7160"/>
      </w:tblGrid>
      <w:tr w:rsidR="00D22AE7">
        <w:tblPrEx>
          <w:tblCellMar>
            <w:top w:w="0" w:type="dxa"/>
            <w:bottom w:w="0" w:type="dxa"/>
          </w:tblCellMar>
        </w:tblPrEx>
        <w:trPr>
          <w:tblHeader/>
        </w:trPr>
        <w:tc>
          <w:tcPr>
            <w:tcW w:w="9360" w:type="dxa"/>
            <w:gridSpan w:val="2"/>
            <w:tcBorders>
              <w:top w:val="single" w:sz="6" w:space="0" w:color="B8C5D6"/>
              <w:left w:val="single" w:sz="6" w:space="0" w:color="B8C5D6"/>
              <w:bottom w:val="single" w:sz="6" w:space="0" w:color="B8C5D6"/>
              <w:right w:val="single" w:sz="6" w:space="0" w:color="B8C5D6"/>
            </w:tcBorders>
            <w:shd w:val="clear" w:color="auto" w:fill="D6E4F7"/>
            <w:tcMar>
              <w:top w:w="120" w:type="dxa"/>
              <w:left w:w="180" w:type="dxa"/>
              <w:bottom w:w="120" w:type="dxa"/>
              <w:right w:w="180" w:type="dxa"/>
            </w:tcMar>
          </w:tcPr>
          <w:p w:rsidR="00D22AE7" w:rsidRDefault="005A1FFD">
            <w:r>
              <w:rPr>
                <w:b/>
                <w:bCs/>
                <w:color w:val="1B3A6B"/>
              </w:rPr>
              <w:t>A.1: Professional Services (Consulting, Legal, Accounting, Engineering, Staffing)</w:t>
            </w:r>
          </w:p>
        </w:tc>
      </w:tr>
      <w:tr w:rsidR="00D22AE7">
        <w:tblPrEx>
          <w:tblCellMar>
            <w:top w:w="0" w:type="dxa"/>
            <w:bottom w:w="0" w:type="dxa"/>
          </w:tblCellMar>
        </w:tblPrEx>
        <w:tc>
          <w:tcPr>
            <w:tcW w:w="2200" w:type="dxa"/>
            <w:tcBorders>
              <w:top w:val="single" w:sz="6" w:space="0" w:color="B8C5D6"/>
              <w:left w:val="single" w:sz="6" w:space="0" w:color="B8C5D6"/>
              <w:bottom w:val="single" w:sz="6" w:space="0" w:color="B8C5D6"/>
              <w:right w:val="single" w:sz="6" w:space="0" w:color="B8C5D6"/>
            </w:tcBorders>
            <w:shd w:val="clear" w:color="auto" w:fill="F7F9FC"/>
            <w:tcMar>
              <w:top w:w="80" w:type="dxa"/>
              <w:left w:w="120" w:type="dxa"/>
              <w:bottom w:w="80" w:type="dxa"/>
              <w:right w:w="100" w:type="dxa"/>
            </w:tcMar>
            <w:vAlign w:val="center"/>
          </w:tcPr>
          <w:p w:rsidR="00D22AE7" w:rsidRDefault="005A1FFD">
            <w:r>
              <w:rPr>
                <w:b/>
                <w:bCs/>
                <w:color w:val="1B3A6B"/>
                <w:sz w:val="20"/>
                <w:szCs w:val="20"/>
              </w:rPr>
              <w:t>Financial Stability</w:t>
            </w:r>
          </w:p>
        </w:tc>
        <w:tc>
          <w:tcPr>
            <w:tcW w:w="7160" w:type="dxa"/>
            <w:tcBorders>
              <w:top w:val="single" w:sz="6" w:space="0" w:color="B8C5D6"/>
              <w:left w:val="single" w:sz="6" w:space="0" w:color="B8C5D6"/>
              <w:bottom w:val="single" w:sz="6" w:space="0" w:color="B8C5D6"/>
              <w:right w:val="single" w:sz="6" w:space="0" w:color="B8C5D6"/>
            </w:tcBorders>
            <w:shd w:val="clear" w:color="auto" w:fill="F7F9FC"/>
            <w:tcMar>
              <w:top w:w="80" w:type="dxa"/>
              <w:left w:w="120" w:type="dxa"/>
              <w:bottom w:w="80" w:type="dxa"/>
              <w:right w:w="100" w:type="dxa"/>
            </w:tcMar>
          </w:tcPr>
          <w:p w:rsidR="00D22AE7" w:rsidRDefault="005A1FFD">
            <w:r>
              <w:rPr>
                <w:sz w:val="20"/>
                <w:szCs w:val="20"/>
              </w:rPr>
              <w:t>Focus on firm size relative to engagement value; assess revenue concentration risk (if WWRGD would represent &gt; 20% of revenue, flag as key-person risk). For sole proprietors or small firms, personal financial stability disclosures may be required.</w:t>
            </w:r>
          </w:p>
        </w:tc>
      </w:tr>
      <w:tr w:rsidR="00D22AE7">
        <w:tblPrEx>
          <w:tblCellMar>
            <w:top w:w="0" w:type="dxa"/>
            <w:bottom w:w="0" w:type="dxa"/>
          </w:tblCellMar>
        </w:tblPrEx>
        <w:tc>
          <w:tcPr>
            <w:tcW w:w="2200" w:type="dxa"/>
            <w:tcBorders>
              <w:top w:val="single" w:sz="6" w:space="0" w:color="B8C5D6"/>
              <w:left w:val="single" w:sz="6" w:space="0" w:color="B8C5D6"/>
              <w:bottom w:val="single" w:sz="6" w:space="0" w:color="B8C5D6"/>
              <w:right w:val="single" w:sz="6" w:space="0" w:color="B8C5D6"/>
            </w:tcBorders>
            <w:shd w:val="clear" w:color="auto" w:fill="FFFFFF"/>
            <w:tcMar>
              <w:top w:w="80" w:type="dxa"/>
              <w:left w:w="120" w:type="dxa"/>
              <w:bottom w:w="80" w:type="dxa"/>
              <w:right w:w="100" w:type="dxa"/>
            </w:tcMar>
            <w:vAlign w:val="center"/>
          </w:tcPr>
          <w:p w:rsidR="00D22AE7" w:rsidRDefault="005A1FFD">
            <w:r>
              <w:rPr>
                <w:b/>
                <w:bCs/>
                <w:color w:val="1B3A6B"/>
                <w:sz w:val="20"/>
                <w:szCs w:val="20"/>
              </w:rPr>
              <w:t>Safety Performance</w:t>
            </w:r>
          </w:p>
        </w:tc>
        <w:tc>
          <w:tcPr>
            <w:tcW w:w="7160" w:type="dxa"/>
            <w:tcBorders>
              <w:top w:val="single" w:sz="6" w:space="0" w:color="B8C5D6"/>
              <w:left w:val="single" w:sz="6" w:space="0" w:color="B8C5D6"/>
              <w:bottom w:val="single" w:sz="6" w:space="0" w:color="B8C5D6"/>
              <w:right w:val="single" w:sz="6" w:space="0" w:color="B8C5D6"/>
            </w:tcBorders>
            <w:shd w:val="clear" w:color="auto" w:fill="FFFFFF"/>
            <w:tcMar>
              <w:top w:w="80" w:type="dxa"/>
              <w:left w:w="120" w:type="dxa"/>
              <w:bottom w:w="80" w:type="dxa"/>
              <w:right w:w="100" w:type="dxa"/>
            </w:tcMar>
          </w:tcPr>
          <w:p w:rsidR="00D22AE7" w:rsidRDefault="005A1FFD">
            <w:r>
              <w:rPr>
                <w:sz w:val="20"/>
                <w:szCs w:val="20"/>
              </w:rPr>
              <w:t>Apply office-based criteria. Evaluate workers' compensation claims history, ergonomic programs, and any employment-related OSHA violations. TRIR/EMR not applicable unless vendor performs any on-site fieldwork.</w:t>
            </w:r>
          </w:p>
        </w:tc>
      </w:tr>
      <w:tr w:rsidR="00D22AE7">
        <w:tblPrEx>
          <w:tblCellMar>
            <w:top w:w="0" w:type="dxa"/>
            <w:bottom w:w="0" w:type="dxa"/>
          </w:tblCellMar>
        </w:tblPrEx>
        <w:tc>
          <w:tcPr>
            <w:tcW w:w="2200" w:type="dxa"/>
            <w:tcBorders>
              <w:top w:val="single" w:sz="6" w:space="0" w:color="B8C5D6"/>
              <w:left w:val="single" w:sz="6" w:space="0" w:color="B8C5D6"/>
              <w:bottom w:val="single" w:sz="6" w:space="0" w:color="B8C5D6"/>
              <w:right w:val="single" w:sz="6" w:space="0" w:color="B8C5D6"/>
            </w:tcBorders>
            <w:shd w:val="clear" w:color="auto" w:fill="F7F9FC"/>
            <w:tcMar>
              <w:top w:w="80" w:type="dxa"/>
              <w:left w:w="120" w:type="dxa"/>
              <w:bottom w:w="80" w:type="dxa"/>
              <w:right w:w="100" w:type="dxa"/>
            </w:tcMar>
            <w:vAlign w:val="center"/>
          </w:tcPr>
          <w:p w:rsidR="00D22AE7" w:rsidRDefault="005A1FFD">
            <w:r>
              <w:rPr>
                <w:b/>
                <w:bCs/>
                <w:color w:val="1B3A6B"/>
                <w:sz w:val="20"/>
                <w:szCs w:val="20"/>
              </w:rPr>
              <w:t>Quality / Performance Hist</w:t>
            </w:r>
            <w:r>
              <w:rPr>
                <w:b/>
                <w:bCs/>
                <w:color w:val="1B3A6B"/>
                <w:sz w:val="20"/>
                <w:szCs w:val="20"/>
              </w:rPr>
              <w:t>ory</w:t>
            </w:r>
          </w:p>
        </w:tc>
        <w:tc>
          <w:tcPr>
            <w:tcW w:w="7160" w:type="dxa"/>
            <w:tcBorders>
              <w:top w:val="single" w:sz="6" w:space="0" w:color="B8C5D6"/>
              <w:left w:val="single" w:sz="6" w:space="0" w:color="B8C5D6"/>
              <w:bottom w:val="single" w:sz="6" w:space="0" w:color="B8C5D6"/>
              <w:right w:val="single" w:sz="6" w:space="0" w:color="B8C5D6"/>
            </w:tcBorders>
            <w:shd w:val="clear" w:color="auto" w:fill="F7F9FC"/>
            <w:tcMar>
              <w:top w:w="80" w:type="dxa"/>
              <w:left w:w="120" w:type="dxa"/>
              <w:bottom w:w="80" w:type="dxa"/>
              <w:right w:w="100" w:type="dxa"/>
            </w:tcMar>
          </w:tcPr>
          <w:p w:rsidR="00D22AE7" w:rsidRDefault="005A1FFD">
            <w:r>
              <w:rPr>
                <w:sz w:val="20"/>
                <w:szCs w:val="20"/>
              </w:rPr>
              <w:t>Reference the vendor's prior engagement outcomes, deliverable quality, and client satisfaction scores. For legal or accounting firms, check for professional disciplinary actions or malpractice claims. For staffing vendors, assess placement success rate</w:t>
            </w:r>
            <w:r>
              <w:rPr>
                <w:sz w:val="20"/>
                <w:szCs w:val="20"/>
              </w:rPr>
              <w:t>s and time-to-fill metrics.</w:t>
            </w:r>
          </w:p>
        </w:tc>
      </w:tr>
      <w:tr w:rsidR="00D22AE7">
        <w:tblPrEx>
          <w:tblCellMar>
            <w:top w:w="0" w:type="dxa"/>
            <w:bottom w:w="0" w:type="dxa"/>
          </w:tblCellMar>
        </w:tblPrEx>
        <w:tc>
          <w:tcPr>
            <w:tcW w:w="2200" w:type="dxa"/>
            <w:tcBorders>
              <w:top w:val="single" w:sz="6" w:space="0" w:color="B8C5D6"/>
              <w:left w:val="single" w:sz="6" w:space="0" w:color="B8C5D6"/>
              <w:bottom w:val="single" w:sz="6" w:space="0" w:color="B8C5D6"/>
              <w:right w:val="single" w:sz="6" w:space="0" w:color="B8C5D6"/>
            </w:tcBorders>
            <w:shd w:val="clear" w:color="auto" w:fill="FFFFFF"/>
            <w:tcMar>
              <w:top w:w="80" w:type="dxa"/>
              <w:left w:w="120" w:type="dxa"/>
              <w:bottom w:w="80" w:type="dxa"/>
              <w:right w:w="100" w:type="dxa"/>
            </w:tcMar>
            <w:vAlign w:val="center"/>
          </w:tcPr>
          <w:p w:rsidR="00D22AE7" w:rsidRDefault="005A1FFD">
            <w:r>
              <w:rPr>
                <w:b/>
                <w:bCs/>
                <w:color w:val="1B3A6B"/>
                <w:sz w:val="20"/>
                <w:szCs w:val="20"/>
              </w:rPr>
              <w:t>Operational Capacity</w:t>
            </w:r>
          </w:p>
        </w:tc>
        <w:tc>
          <w:tcPr>
            <w:tcW w:w="7160" w:type="dxa"/>
            <w:tcBorders>
              <w:top w:val="single" w:sz="6" w:space="0" w:color="B8C5D6"/>
              <w:left w:val="single" w:sz="6" w:space="0" w:color="B8C5D6"/>
              <w:bottom w:val="single" w:sz="6" w:space="0" w:color="B8C5D6"/>
              <w:right w:val="single" w:sz="6" w:space="0" w:color="B8C5D6"/>
            </w:tcBorders>
            <w:shd w:val="clear" w:color="auto" w:fill="FFFFFF"/>
            <w:tcMar>
              <w:top w:w="80" w:type="dxa"/>
              <w:left w:w="120" w:type="dxa"/>
              <w:bottom w:w="80" w:type="dxa"/>
              <w:right w:w="100" w:type="dxa"/>
            </w:tcMar>
          </w:tcPr>
          <w:p w:rsidR="00D22AE7" w:rsidRDefault="005A1FFD">
            <w:r>
              <w:rPr>
                <w:sz w:val="20"/>
                <w:szCs w:val="20"/>
              </w:rPr>
              <w:t>Assess named-resource availability. Confirm that key individuals identified in the proposal are actually available for this engagement. Evaluate sub-contractor or teaming partner plans if applicable.</w:t>
            </w:r>
          </w:p>
        </w:tc>
      </w:tr>
      <w:tr w:rsidR="00D22AE7">
        <w:tblPrEx>
          <w:tblCellMar>
            <w:top w:w="0" w:type="dxa"/>
            <w:bottom w:w="0" w:type="dxa"/>
          </w:tblCellMar>
        </w:tblPrEx>
        <w:tc>
          <w:tcPr>
            <w:tcW w:w="2200" w:type="dxa"/>
            <w:tcBorders>
              <w:top w:val="single" w:sz="6" w:space="0" w:color="B8C5D6"/>
              <w:left w:val="single" w:sz="6" w:space="0" w:color="B8C5D6"/>
              <w:bottom w:val="single" w:sz="6" w:space="0" w:color="B8C5D6"/>
              <w:right w:val="single" w:sz="6" w:space="0" w:color="B8C5D6"/>
            </w:tcBorders>
            <w:shd w:val="clear" w:color="auto" w:fill="F7F9FC"/>
            <w:tcMar>
              <w:top w:w="80" w:type="dxa"/>
              <w:left w:w="120" w:type="dxa"/>
              <w:bottom w:w="80" w:type="dxa"/>
              <w:right w:w="100" w:type="dxa"/>
            </w:tcMar>
            <w:vAlign w:val="center"/>
          </w:tcPr>
          <w:p w:rsidR="00D22AE7" w:rsidRDefault="005A1FFD">
            <w:r>
              <w:rPr>
                <w:b/>
                <w:bCs/>
                <w:color w:val="1B3A6B"/>
                <w:sz w:val="20"/>
                <w:szCs w:val="20"/>
              </w:rPr>
              <w:t>Compliance Record</w:t>
            </w:r>
          </w:p>
        </w:tc>
        <w:tc>
          <w:tcPr>
            <w:tcW w:w="7160" w:type="dxa"/>
            <w:tcBorders>
              <w:top w:val="single" w:sz="6" w:space="0" w:color="B8C5D6"/>
              <w:left w:val="single" w:sz="6" w:space="0" w:color="B8C5D6"/>
              <w:bottom w:val="single" w:sz="6" w:space="0" w:color="B8C5D6"/>
              <w:right w:val="single" w:sz="6" w:space="0" w:color="B8C5D6"/>
            </w:tcBorders>
            <w:shd w:val="clear" w:color="auto" w:fill="F7F9FC"/>
            <w:tcMar>
              <w:top w:w="80" w:type="dxa"/>
              <w:left w:w="120" w:type="dxa"/>
              <w:bottom w:w="80" w:type="dxa"/>
              <w:right w:w="100" w:type="dxa"/>
            </w:tcMar>
          </w:tcPr>
          <w:p w:rsidR="00D22AE7" w:rsidRDefault="005A1FFD">
            <w:r>
              <w:rPr>
                <w:sz w:val="20"/>
                <w:szCs w:val="20"/>
              </w:rPr>
              <w:t>Verify professional licensure (PE stamps, CPA certifications, bar admissions, etc.). Check for disciplinary proceedings from relevant professional boards. Confirm applicable E&amp;O insurance.</w:t>
            </w:r>
          </w:p>
        </w:tc>
      </w:tr>
      <w:tr w:rsidR="00D22AE7">
        <w:tblPrEx>
          <w:tblCellMar>
            <w:top w:w="0" w:type="dxa"/>
            <w:bottom w:w="0" w:type="dxa"/>
          </w:tblCellMar>
        </w:tblPrEx>
        <w:tc>
          <w:tcPr>
            <w:tcW w:w="2200" w:type="dxa"/>
            <w:tcBorders>
              <w:top w:val="single" w:sz="6" w:space="0" w:color="B8C5D6"/>
              <w:left w:val="single" w:sz="6" w:space="0" w:color="B8C5D6"/>
              <w:bottom w:val="single" w:sz="6" w:space="0" w:color="B8C5D6"/>
              <w:right w:val="single" w:sz="6" w:space="0" w:color="B8C5D6"/>
            </w:tcBorders>
            <w:shd w:val="clear" w:color="auto" w:fill="FFFFFF"/>
            <w:tcMar>
              <w:top w:w="80" w:type="dxa"/>
              <w:left w:w="120" w:type="dxa"/>
              <w:bottom w:w="80" w:type="dxa"/>
              <w:right w:w="100" w:type="dxa"/>
            </w:tcMar>
            <w:vAlign w:val="center"/>
          </w:tcPr>
          <w:p w:rsidR="00D22AE7" w:rsidRDefault="005A1FFD">
            <w:r>
              <w:rPr>
                <w:b/>
                <w:bCs/>
                <w:color w:val="1B3A6B"/>
                <w:sz w:val="20"/>
                <w:szCs w:val="20"/>
              </w:rPr>
              <w:t>Technology Capabilities</w:t>
            </w:r>
          </w:p>
        </w:tc>
        <w:tc>
          <w:tcPr>
            <w:tcW w:w="7160" w:type="dxa"/>
            <w:tcBorders>
              <w:top w:val="single" w:sz="6" w:space="0" w:color="B8C5D6"/>
              <w:left w:val="single" w:sz="6" w:space="0" w:color="B8C5D6"/>
              <w:bottom w:val="single" w:sz="6" w:space="0" w:color="B8C5D6"/>
              <w:right w:val="single" w:sz="6" w:space="0" w:color="B8C5D6"/>
            </w:tcBorders>
            <w:shd w:val="clear" w:color="auto" w:fill="FFFFFF"/>
            <w:tcMar>
              <w:top w:w="80" w:type="dxa"/>
              <w:left w:w="120" w:type="dxa"/>
              <w:bottom w:w="80" w:type="dxa"/>
              <w:right w:w="100" w:type="dxa"/>
            </w:tcMar>
          </w:tcPr>
          <w:p w:rsidR="00D22AE7" w:rsidRDefault="005A1FFD">
            <w:r>
              <w:rPr>
                <w:sz w:val="20"/>
                <w:szCs w:val="20"/>
              </w:rPr>
              <w:t>Assess document management, collaboration platform compatibility, and data handling practices. For firms handling sensitive WWRGD data, verify data classification and security protocols.</w:t>
            </w:r>
          </w:p>
        </w:tc>
      </w:tr>
    </w:tbl>
    <w:p w:rsidR="00D22AE7" w:rsidRDefault="00D22AE7">
      <w:pPr>
        <w:spacing w:before="140" w:after="0"/>
      </w:pPr>
    </w:p>
    <w:tbl>
      <w:tblPr>
        <w:tblW w:w="10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7160"/>
      </w:tblGrid>
      <w:tr w:rsidR="00D22AE7">
        <w:tblPrEx>
          <w:tblCellMar>
            <w:top w:w="0" w:type="dxa"/>
            <w:bottom w:w="0" w:type="dxa"/>
          </w:tblCellMar>
        </w:tblPrEx>
        <w:trPr>
          <w:tblHeader/>
        </w:trPr>
        <w:tc>
          <w:tcPr>
            <w:tcW w:w="9360" w:type="dxa"/>
            <w:gridSpan w:val="2"/>
            <w:tcBorders>
              <w:top w:val="single" w:sz="6" w:space="0" w:color="B8C5D6"/>
              <w:left w:val="single" w:sz="6" w:space="0" w:color="B8C5D6"/>
              <w:bottom w:val="single" w:sz="6" w:space="0" w:color="B8C5D6"/>
              <w:right w:val="single" w:sz="6" w:space="0" w:color="B8C5D6"/>
            </w:tcBorders>
            <w:shd w:val="clear" w:color="auto" w:fill="D6EEE0"/>
            <w:tcMar>
              <w:top w:w="120" w:type="dxa"/>
              <w:left w:w="180" w:type="dxa"/>
              <w:bottom w:w="120" w:type="dxa"/>
              <w:right w:w="180" w:type="dxa"/>
            </w:tcMar>
          </w:tcPr>
          <w:p w:rsidR="00D22AE7" w:rsidRDefault="005A1FFD">
            <w:r>
              <w:rPr>
                <w:b/>
                <w:bCs/>
                <w:color w:val="1B5E20"/>
              </w:rPr>
              <w:t>A.2: Technology / Software (SaaS, On-Premise Software, IT Services, Managed Services)</w:t>
            </w:r>
          </w:p>
        </w:tc>
      </w:tr>
      <w:tr w:rsidR="00D22AE7">
        <w:tblPrEx>
          <w:tblCellMar>
            <w:top w:w="0" w:type="dxa"/>
            <w:bottom w:w="0" w:type="dxa"/>
          </w:tblCellMar>
        </w:tblPrEx>
        <w:tc>
          <w:tcPr>
            <w:tcW w:w="2200" w:type="dxa"/>
            <w:tcBorders>
              <w:top w:val="single" w:sz="6" w:space="0" w:color="B8C5D6"/>
              <w:left w:val="single" w:sz="6" w:space="0" w:color="B8C5D6"/>
              <w:bottom w:val="single" w:sz="6" w:space="0" w:color="B8C5D6"/>
              <w:right w:val="single" w:sz="6" w:space="0" w:color="B8C5D6"/>
            </w:tcBorders>
            <w:shd w:val="clear" w:color="auto" w:fill="F7F9FC"/>
            <w:tcMar>
              <w:top w:w="80" w:type="dxa"/>
              <w:left w:w="120" w:type="dxa"/>
              <w:bottom w:w="80" w:type="dxa"/>
              <w:right w:w="100" w:type="dxa"/>
            </w:tcMar>
            <w:vAlign w:val="center"/>
          </w:tcPr>
          <w:p w:rsidR="00D22AE7" w:rsidRDefault="005A1FFD">
            <w:r>
              <w:rPr>
                <w:b/>
                <w:bCs/>
                <w:color w:val="1B3A6B"/>
                <w:sz w:val="20"/>
                <w:szCs w:val="20"/>
              </w:rPr>
              <w:t>Financial Stability</w:t>
            </w:r>
          </w:p>
        </w:tc>
        <w:tc>
          <w:tcPr>
            <w:tcW w:w="7160" w:type="dxa"/>
            <w:tcBorders>
              <w:top w:val="single" w:sz="6" w:space="0" w:color="B8C5D6"/>
              <w:left w:val="single" w:sz="6" w:space="0" w:color="B8C5D6"/>
              <w:bottom w:val="single" w:sz="6" w:space="0" w:color="B8C5D6"/>
              <w:right w:val="single" w:sz="6" w:space="0" w:color="B8C5D6"/>
            </w:tcBorders>
            <w:shd w:val="clear" w:color="auto" w:fill="F7F9FC"/>
            <w:tcMar>
              <w:top w:w="80" w:type="dxa"/>
              <w:left w:w="120" w:type="dxa"/>
              <w:bottom w:w="80" w:type="dxa"/>
              <w:right w:w="100" w:type="dxa"/>
            </w:tcMar>
          </w:tcPr>
          <w:p w:rsidR="00D22AE7" w:rsidRDefault="005A1FFD">
            <w:r>
              <w:rPr>
                <w:sz w:val="20"/>
                <w:szCs w:val="20"/>
              </w:rPr>
              <w:t>SaaS vendors with subscription-based revenue may show different financial profiles than traditional vendors. Evaluate ARR (Annual Recurring Revenue) stability, customer churn rate, and runway for venture-backed companies. Escrow arrangements for source cod</w:t>
            </w:r>
            <w:r>
              <w:rPr>
                <w:sz w:val="20"/>
                <w:szCs w:val="20"/>
              </w:rPr>
              <w:t>e should be evaluated for mission-critical software.</w:t>
            </w:r>
          </w:p>
        </w:tc>
      </w:tr>
      <w:tr w:rsidR="00D22AE7">
        <w:tblPrEx>
          <w:tblCellMar>
            <w:top w:w="0" w:type="dxa"/>
            <w:bottom w:w="0" w:type="dxa"/>
          </w:tblCellMar>
        </w:tblPrEx>
        <w:tc>
          <w:tcPr>
            <w:tcW w:w="2200" w:type="dxa"/>
            <w:tcBorders>
              <w:top w:val="single" w:sz="6" w:space="0" w:color="B8C5D6"/>
              <w:left w:val="single" w:sz="6" w:space="0" w:color="B8C5D6"/>
              <w:bottom w:val="single" w:sz="6" w:space="0" w:color="B8C5D6"/>
              <w:right w:val="single" w:sz="6" w:space="0" w:color="B8C5D6"/>
            </w:tcBorders>
            <w:shd w:val="clear" w:color="auto" w:fill="FFFFFF"/>
            <w:tcMar>
              <w:top w:w="80" w:type="dxa"/>
              <w:left w:w="120" w:type="dxa"/>
              <w:bottom w:w="80" w:type="dxa"/>
              <w:right w:w="100" w:type="dxa"/>
            </w:tcMar>
            <w:vAlign w:val="center"/>
          </w:tcPr>
          <w:p w:rsidR="00D22AE7" w:rsidRDefault="005A1FFD">
            <w:r>
              <w:rPr>
                <w:b/>
                <w:bCs/>
                <w:color w:val="1B3A6B"/>
                <w:sz w:val="20"/>
                <w:szCs w:val="20"/>
              </w:rPr>
              <w:t>Safety Performance</w:t>
            </w:r>
          </w:p>
        </w:tc>
        <w:tc>
          <w:tcPr>
            <w:tcW w:w="7160" w:type="dxa"/>
            <w:tcBorders>
              <w:top w:val="single" w:sz="6" w:space="0" w:color="B8C5D6"/>
              <w:left w:val="single" w:sz="6" w:space="0" w:color="B8C5D6"/>
              <w:bottom w:val="single" w:sz="6" w:space="0" w:color="B8C5D6"/>
              <w:right w:val="single" w:sz="6" w:space="0" w:color="B8C5D6"/>
            </w:tcBorders>
            <w:shd w:val="clear" w:color="auto" w:fill="FFFFFF"/>
            <w:tcMar>
              <w:top w:w="80" w:type="dxa"/>
              <w:left w:w="120" w:type="dxa"/>
              <w:bottom w:w="80" w:type="dxa"/>
              <w:right w:w="100" w:type="dxa"/>
            </w:tcMar>
          </w:tcPr>
          <w:p w:rsidR="00D22AE7" w:rsidRDefault="005A1FFD">
            <w:r>
              <w:rPr>
                <w:sz w:val="20"/>
                <w:szCs w:val="20"/>
              </w:rPr>
              <w:t>Office-based criteria apply. Physical data center vendors or field IT deployment teams may require field-based safety metrics. Cybersecurity incident history should be assessed here as an operational safety analog.</w:t>
            </w:r>
          </w:p>
        </w:tc>
      </w:tr>
      <w:tr w:rsidR="00D22AE7">
        <w:tblPrEx>
          <w:tblCellMar>
            <w:top w:w="0" w:type="dxa"/>
            <w:bottom w:w="0" w:type="dxa"/>
          </w:tblCellMar>
        </w:tblPrEx>
        <w:tc>
          <w:tcPr>
            <w:tcW w:w="2200" w:type="dxa"/>
            <w:tcBorders>
              <w:top w:val="single" w:sz="6" w:space="0" w:color="B8C5D6"/>
              <w:left w:val="single" w:sz="6" w:space="0" w:color="B8C5D6"/>
              <w:bottom w:val="single" w:sz="6" w:space="0" w:color="B8C5D6"/>
              <w:right w:val="single" w:sz="6" w:space="0" w:color="B8C5D6"/>
            </w:tcBorders>
            <w:shd w:val="clear" w:color="auto" w:fill="F7F9FC"/>
            <w:tcMar>
              <w:top w:w="80" w:type="dxa"/>
              <w:left w:w="120" w:type="dxa"/>
              <w:bottom w:w="80" w:type="dxa"/>
              <w:right w:w="100" w:type="dxa"/>
            </w:tcMar>
            <w:vAlign w:val="center"/>
          </w:tcPr>
          <w:p w:rsidR="00D22AE7" w:rsidRDefault="005A1FFD">
            <w:r>
              <w:rPr>
                <w:b/>
                <w:bCs/>
                <w:color w:val="1B3A6B"/>
                <w:sz w:val="20"/>
                <w:szCs w:val="20"/>
              </w:rPr>
              <w:t>Quality / Performance History</w:t>
            </w:r>
          </w:p>
        </w:tc>
        <w:tc>
          <w:tcPr>
            <w:tcW w:w="7160" w:type="dxa"/>
            <w:tcBorders>
              <w:top w:val="single" w:sz="6" w:space="0" w:color="B8C5D6"/>
              <w:left w:val="single" w:sz="6" w:space="0" w:color="B8C5D6"/>
              <w:bottom w:val="single" w:sz="6" w:space="0" w:color="B8C5D6"/>
              <w:right w:val="single" w:sz="6" w:space="0" w:color="B8C5D6"/>
            </w:tcBorders>
            <w:shd w:val="clear" w:color="auto" w:fill="F7F9FC"/>
            <w:tcMar>
              <w:top w:w="80" w:type="dxa"/>
              <w:left w:w="120" w:type="dxa"/>
              <w:bottom w:w="80" w:type="dxa"/>
              <w:right w:w="100" w:type="dxa"/>
            </w:tcMar>
          </w:tcPr>
          <w:p w:rsidR="00D22AE7" w:rsidRDefault="005A1FFD">
            <w:r>
              <w:rPr>
                <w:sz w:val="20"/>
                <w:szCs w:val="20"/>
              </w:rPr>
              <w:t>Evaluate S</w:t>
            </w:r>
            <w:r>
              <w:rPr>
                <w:sz w:val="20"/>
                <w:szCs w:val="20"/>
              </w:rPr>
              <w:t>LA uptime history (target: 99.5%+ for critical platforms), support ticket resolution times, patch and update reliability, and customer NPS scores. Review any prior data breach history and response quality.</w:t>
            </w:r>
          </w:p>
        </w:tc>
      </w:tr>
      <w:tr w:rsidR="00D22AE7">
        <w:tblPrEx>
          <w:tblCellMar>
            <w:top w:w="0" w:type="dxa"/>
            <w:bottom w:w="0" w:type="dxa"/>
          </w:tblCellMar>
        </w:tblPrEx>
        <w:tc>
          <w:tcPr>
            <w:tcW w:w="2200" w:type="dxa"/>
            <w:tcBorders>
              <w:top w:val="single" w:sz="6" w:space="0" w:color="B8C5D6"/>
              <w:left w:val="single" w:sz="6" w:space="0" w:color="B8C5D6"/>
              <w:bottom w:val="single" w:sz="6" w:space="0" w:color="B8C5D6"/>
              <w:right w:val="single" w:sz="6" w:space="0" w:color="B8C5D6"/>
            </w:tcBorders>
            <w:shd w:val="clear" w:color="auto" w:fill="FFFFFF"/>
            <w:tcMar>
              <w:top w:w="80" w:type="dxa"/>
              <w:left w:w="120" w:type="dxa"/>
              <w:bottom w:w="80" w:type="dxa"/>
              <w:right w:w="100" w:type="dxa"/>
            </w:tcMar>
            <w:vAlign w:val="center"/>
          </w:tcPr>
          <w:p w:rsidR="00D22AE7" w:rsidRDefault="005A1FFD">
            <w:r>
              <w:rPr>
                <w:b/>
                <w:bCs/>
                <w:color w:val="1B3A6B"/>
                <w:sz w:val="20"/>
                <w:szCs w:val="20"/>
              </w:rPr>
              <w:t>Operational Capacity</w:t>
            </w:r>
          </w:p>
        </w:tc>
        <w:tc>
          <w:tcPr>
            <w:tcW w:w="7160" w:type="dxa"/>
            <w:tcBorders>
              <w:top w:val="single" w:sz="6" w:space="0" w:color="B8C5D6"/>
              <w:left w:val="single" w:sz="6" w:space="0" w:color="B8C5D6"/>
              <w:bottom w:val="single" w:sz="6" w:space="0" w:color="B8C5D6"/>
              <w:right w:val="single" w:sz="6" w:space="0" w:color="B8C5D6"/>
            </w:tcBorders>
            <w:shd w:val="clear" w:color="auto" w:fill="FFFFFF"/>
            <w:tcMar>
              <w:top w:w="80" w:type="dxa"/>
              <w:left w:w="120" w:type="dxa"/>
              <w:bottom w:w="80" w:type="dxa"/>
              <w:right w:w="100" w:type="dxa"/>
            </w:tcMar>
          </w:tcPr>
          <w:p w:rsidR="00D22AE7" w:rsidRDefault="005A1FFD">
            <w:r>
              <w:rPr>
                <w:sz w:val="20"/>
                <w:szCs w:val="20"/>
              </w:rPr>
              <w:t>Assess vendor's support staffing ratios, escalation paths, and on-call coverage. For implementation projects, evaluate deployment team availability. Evaluate vendor's product roadmap sustainability.</w:t>
            </w:r>
          </w:p>
        </w:tc>
      </w:tr>
      <w:tr w:rsidR="00D22AE7">
        <w:tblPrEx>
          <w:tblCellMar>
            <w:top w:w="0" w:type="dxa"/>
            <w:bottom w:w="0" w:type="dxa"/>
          </w:tblCellMar>
        </w:tblPrEx>
        <w:tc>
          <w:tcPr>
            <w:tcW w:w="2200" w:type="dxa"/>
            <w:tcBorders>
              <w:top w:val="single" w:sz="6" w:space="0" w:color="B8C5D6"/>
              <w:left w:val="single" w:sz="6" w:space="0" w:color="B8C5D6"/>
              <w:bottom w:val="single" w:sz="6" w:space="0" w:color="B8C5D6"/>
              <w:right w:val="single" w:sz="6" w:space="0" w:color="B8C5D6"/>
            </w:tcBorders>
            <w:shd w:val="clear" w:color="auto" w:fill="F7F9FC"/>
            <w:tcMar>
              <w:top w:w="80" w:type="dxa"/>
              <w:left w:w="120" w:type="dxa"/>
              <w:bottom w:w="80" w:type="dxa"/>
              <w:right w:w="100" w:type="dxa"/>
            </w:tcMar>
            <w:vAlign w:val="center"/>
          </w:tcPr>
          <w:p w:rsidR="00D22AE7" w:rsidRDefault="005A1FFD">
            <w:r>
              <w:rPr>
                <w:b/>
                <w:bCs/>
                <w:color w:val="1B3A6B"/>
                <w:sz w:val="20"/>
                <w:szCs w:val="20"/>
              </w:rPr>
              <w:t>Compliance Record</w:t>
            </w:r>
          </w:p>
        </w:tc>
        <w:tc>
          <w:tcPr>
            <w:tcW w:w="7160" w:type="dxa"/>
            <w:tcBorders>
              <w:top w:val="single" w:sz="6" w:space="0" w:color="B8C5D6"/>
              <w:left w:val="single" w:sz="6" w:space="0" w:color="B8C5D6"/>
              <w:bottom w:val="single" w:sz="6" w:space="0" w:color="B8C5D6"/>
              <w:right w:val="single" w:sz="6" w:space="0" w:color="B8C5D6"/>
            </w:tcBorders>
            <w:shd w:val="clear" w:color="auto" w:fill="F7F9FC"/>
            <w:tcMar>
              <w:top w:w="80" w:type="dxa"/>
              <w:left w:w="120" w:type="dxa"/>
              <w:bottom w:w="80" w:type="dxa"/>
              <w:right w:w="100" w:type="dxa"/>
            </w:tcMar>
          </w:tcPr>
          <w:p w:rsidR="00D22AE7" w:rsidRDefault="005A1FFD">
            <w:r>
              <w:rPr>
                <w:sz w:val="20"/>
                <w:szCs w:val="20"/>
              </w:rPr>
              <w:t>Verify SOC 2 Type II, ISO 27001, FedRAMP (if applicable), GDPR, CCPA, and any industry-specific data compliance certifications. Review vendor's data processing agreements (DPAs) and breach notification procedures.</w:t>
            </w:r>
          </w:p>
        </w:tc>
      </w:tr>
      <w:tr w:rsidR="00D22AE7">
        <w:tblPrEx>
          <w:tblCellMar>
            <w:top w:w="0" w:type="dxa"/>
            <w:bottom w:w="0" w:type="dxa"/>
          </w:tblCellMar>
        </w:tblPrEx>
        <w:tc>
          <w:tcPr>
            <w:tcW w:w="2200" w:type="dxa"/>
            <w:tcBorders>
              <w:top w:val="single" w:sz="6" w:space="0" w:color="B8C5D6"/>
              <w:left w:val="single" w:sz="6" w:space="0" w:color="B8C5D6"/>
              <w:bottom w:val="single" w:sz="6" w:space="0" w:color="B8C5D6"/>
              <w:right w:val="single" w:sz="6" w:space="0" w:color="B8C5D6"/>
            </w:tcBorders>
            <w:shd w:val="clear" w:color="auto" w:fill="FFFFFF"/>
            <w:tcMar>
              <w:top w:w="80" w:type="dxa"/>
              <w:left w:w="120" w:type="dxa"/>
              <w:bottom w:w="80" w:type="dxa"/>
              <w:right w:w="100" w:type="dxa"/>
            </w:tcMar>
            <w:vAlign w:val="center"/>
          </w:tcPr>
          <w:p w:rsidR="00D22AE7" w:rsidRDefault="005A1FFD">
            <w:r>
              <w:rPr>
                <w:b/>
                <w:bCs/>
                <w:color w:val="1B3A6B"/>
                <w:sz w:val="20"/>
                <w:szCs w:val="20"/>
              </w:rPr>
              <w:t>Technology Capabilities</w:t>
            </w:r>
          </w:p>
        </w:tc>
        <w:tc>
          <w:tcPr>
            <w:tcW w:w="7160" w:type="dxa"/>
            <w:tcBorders>
              <w:top w:val="single" w:sz="6" w:space="0" w:color="B8C5D6"/>
              <w:left w:val="single" w:sz="6" w:space="0" w:color="B8C5D6"/>
              <w:bottom w:val="single" w:sz="6" w:space="0" w:color="B8C5D6"/>
              <w:right w:val="single" w:sz="6" w:space="0" w:color="B8C5D6"/>
            </w:tcBorders>
            <w:shd w:val="clear" w:color="auto" w:fill="FFFFFF"/>
            <w:tcMar>
              <w:top w:w="80" w:type="dxa"/>
              <w:left w:w="120" w:type="dxa"/>
              <w:bottom w:w="80" w:type="dxa"/>
              <w:right w:w="100" w:type="dxa"/>
            </w:tcMar>
          </w:tcPr>
          <w:p w:rsidR="00D22AE7" w:rsidRDefault="005A1FFD">
            <w:r>
              <w:rPr>
                <w:sz w:val="20"/>
                <w:szCs w:val="20"/>
              </w:rPr>
              <w:t>In-scope for this vendor type. Evaluate API documentation quality, integration library breadth, SDK availability, and multi-tenant architecture security. Assess disaster recovery and business continuity capabilities.</w:t>
            </w:r>
          </w:p>
        </w:tc>
      </w:tr>
    </w:tbl>
    <w:p w:rsidR="00D22AE7" w:rsidRDefault="00D22AE7">
      <w:pPr>
        <w:spacing w:before="140" w:after="0"/>
      </w:pPr>
    </w:p>
    <w:tbl>
      <w:tblPr>
        <w:tblW w:w="10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7160"/>
      </w:tblGrid>
      <w:tr w:rsidR="00D22AE7">
        <w:tblPrEx>
          <w:tblCellMar>
            <w:top w:w="0" w:type="dxa"/>
            <w:bottom w:w="0" w:type="dxa"/>
          </w:tblCellMar>
        </w:tblPrEx>
        <w:trPr>
          <w:tblHeader/>
        </w:trPr>
        <w:tc>
          <w:tcPr>
            <w:tcW w:w="9360" w:type="dxa"/>
            <w:gridSpan w:val="2"/>
            <w:tcBorders>
              <w:top w:val="single" w:sz="6" w:space="0" w:color="B8C5D6"/>
              <w:left w:val="single" w:sz="6" w:space="0" w:color="B8C5D6"/>
              <w:bottom w:val="single" w:sz="6" w:space="0" w:color="B8C5D6"/>
              <w:right w:val="single" w:sz="6" w:space="0" w:color="B8C5D6"/>
            </w:tcBorders>
            <w:shd w:val="clear" w:color="auto" w:fill="FDEBD0"/>
            <w:tcMar>
              <w:top w:w="120" w:type="dxa"/>
              <w:left w:w="180" w:type="dxa"/>
              <w:bottom w:w="120" w:type="dxa"/>
              <w:right w:w="180" w:type="dxa"/>
            </w:tcMar>
          </w:tcPr>
          <w:p w:rsidR="00D22AE7" w:rsidRDefault="005A1FFD">
            <w:r>
              <w:rPr>
                <w:b/>
                <w:bCs/>
                <w:color w:val="7B3F00"/>
              </w:rPr>
              <w:t>A.3: Facilities Management (Janitorial, Maintenance, Security, HVAC, Landscaping)</w:t>
            </w:r>
          </w:p>
        </w:tc>
      </w:tr>
      <w:tr w:rsidR="00D22AE7">
        <w:tblPrEx>
          <w:tblCellMar>
            <w:top w:w="0" w:type="dxa"/>
            <w:bottom w:w="0" w:type="dxa"/>
          </w:tblCellMar>
        </w:tblPrEx>
        <w:tc>
          <w:tcPr>
            <w:tcW w:w="2200" w:type="dxa"/>
            <w:tcBorders>
              <w:top w:val="single" w:sz="6" w:space="0" w:color="B8C5D6"/>
              <w:left w:val="single" w:sz="6" w:space="0" w:color="B8C5D6"/>
              <w:bottom w:val="single" w:sz="6" w:space="0" w:color="B8C5D6"/>
              <w:right w:val="single" w:sz="6" w:space="0" w:color="B8C5D6"/>
            </w:tcBorders>
            <w:shd w:val="clear" w:color="auto" w:fill="F7F9FC"/>
            <w:tcMar>
              <w:top w:w="80" w:type="dxa"/>
              <w:left w:w="120" w:type="dxa"/>
              <w:bottom w:w="80" w:type="dxa"/>
              <w:right w:w="100" w:type="dxa"/>
            </w:tcMar>
            <w:vAlign w:val="center"/>
          </w:tcPr>
          <w:p w:rsidR="00D22AE7" w:rsidRDefault="005A1FFD">
            <w:r>
              <w:rPr>
                <w:b/>
                <w:bCs/>
                <w:color w:val="1B3A6B"/>
                <w:sz w:val="20"/>
                <w:szCs w:val="20"/>
              </w:rPr>
              <w:t>Financial Stability</w:t>
            </w:r>
          </w:p>
        </w:tc>
        <w:tc>
          <w:tcPr>
            <w:tcW w:w="7160" w:type="dxa"/>
            <w:tcBorders>
              <w:top w:val="single" w:sz="6" w:space="0" w:color="B8C5D6"/>
              <w:left w:val="single" w:sz="6" w:space="0" w:color="B8C5D6"/>
              <w:bottom w:val="single" w:sz="6" w:space="0" w:color="B8C5D6"/>
              <w:right w:val="single" w:sz="6" w:space="0" w:color="B8C5D6"/>
            </w:tcBorders>
            <w:shd w:val="clear" w:color="auto" w:fill="F7F9FC"/>
            <w:tcMar>
              <w:top w:w="80" w:type="dxa"/>
              <w:left w:w="120" w:type="dxa"/>
              <w:bottom w:w="80" w:type="dxa"/>
              <w:right w:w="100" w:type="dxa"/>
            </w:tcMar>
          </w:tcPr>
          <w:p w:rsidR="00D22AE7" w:rsidRDefault="005A1FFD">
            <w:r>
              <w:rPr>
                <w:sz w:val="20"/>
                <w:szCs w:val="20"/>
              </w:rPr>
              <w:t xml:space="preserve">Many FM vendors are smaller operators; adjust financial expectations proportionally. Confirm workers' compensation and general liability coverage are adequate for on-site personnel. Verify bonding for security and cleaning vendors with access to sensitive </w:t>
            </w:r>
            <w:r>
              <w:rPr>
                <w:sz w:val="20"/>
                <w:szCs w:val="20"/>
              </w:rPr>
              <w:t>areas.</w:t>
            </w:r>
          </w:p>
        </w:tc>
      </w:tr>
      <w:tr w:rsidR="00D22AE7">
        <w:tblPrEx>
          <w:tblCellMar>
            <w:top w:w="0" w:type="dxa"/>
            <w:bottom w:w="0" w:type="dxa"/>
          </w:tblCellMar>
        </w:tblPrEx>
        <w:tc>
          <w:tcPr>
            <w:tcW w:w="2200" w:type="dxa"/>
            <w:tcBorders>
              <w:top w:val="single" w:sz="6" w:space="0" w:color="B8C5D6"/>
              <w:left w:val="single" w:sz="6" w:space="0" w:color="B8C5D6"/>
              <w:bottom w:val="single" w:sz="6" w:space="0" w:color="B8C5D6"/>
              <w:right w:val="single" w:sz="6" w:space="0" w:color="B8C5D6"/>
            </w:tcBorders>
            <w:shd w:val="clear" w:color="auto" w:fill="FFFFFF"/>
            <w:tcMar>
              <w:top w:w="80" w:type="dxa"/>
              <w:left w:w="120" w:type="dxa"/>
              <w:bottom w:w="80" w:type="dxa"/>
              <w:right w:w="100" w:type="dxa"/>
            </w:tcMar>
            <w:vAlign w:val="center"/>
          </w:tcPr>
          <w:p w:rsidR="00D22AE7" w:rsidRDefault="005A1FFD">
            <w:r>
              <w:rPr>
                <w:b/>
                <w:bCs/>
                <w:color w:val="1B3A6B"/>
                <w:sz w:val="20"/>
                <w:szCs w:val="20"/>
              </w:rPr>
              <w:t>Safety Performance</w:t>
            </w:r>
          </w:p>
        </w:tc>
        <w:tc>
          <w:tcPr>
            <w:tcW w:w="7160" w:type="dxa"/>
            <w:tcBorders>
              <w:top w:val="single" w:sz="6" w:space="0" w:color="B8C5D6"/>
              <w:left w:val="single" w:sz="6" w:space="0" w:color="B8C5D6"/>
              <w:bottom w:val="single" w:sz="6" w:space="0" w:color="B8C5D6"/>
              <w:right w:val="single" w:sz="6" w:space="0" w:color="B8C5D6"/>
            </w:tcBorders>
            <w:shd w:val="clear" w:color="auto" w:fill="FFFFFF"/>
            <w:tcMar>
              <w:top w:w="80" w:type="dxa"/>
              <w:left w:w="120" w:type="dxa"/>
              <w:bottom w:w="80" w:type="dxa"/>
              <w:right w:w="100" w:type="dxa"/>
            </w:tcMar>
          </w:tcPr>
          <w:p w:rsidR="00D22AE7" w:rsidRDefault="005A1FFD">
            <w:r>
              <w:rPr>
                <w:sz w:val="20"/>
                <w:szCs w:val="20"/>
              </w:rPr>
              <w:t>Field-based safety metrics (TRIR, EMR) apply for maintenance, HVAC, and janitorial crews. Verify OSHA 300 logs. For security vendors, assess use-of-force incident history and guard certification status.</w:t>
            </w:r>
          </w:p>
        </w:tc>
      </w:tr>
      <w:tr w:rsidR="00D22AE7">
        <w:tblPrEx>
          <w:tblCellMar>
            <w:top w:w="0" w:type="dxa"/>
            <w:bottom w:w="0" w:type="dxa"/>
          </w:tblCellMar>
        </w:tblPrEx>
        <w:tc>
          <w:tcPr>
            <w:tcW w:w="2200" w:type="dxa"/>
            <w:tcBorders>
              <w:top w:val="single" w:sz="6" w:space="0" w:color="B8C5D6"/>
              <w:left w:val="single" w:sz="6" w:space="0" w:color="B8C5D6"/>
              <w:bottom w:val="single" w:sz="6" w:space="0" w:color="B8C5D6"/>
              <w:right w:val="single" w:sz="6" w:space="0" w:color="B8C5D6"/>
            </w:tcBorders>
            <w:shd w:val="clear" w:color="auto" w:fill="F7F9FC"/>
            <w:tcMar>
              <w:top w:w="80" w:type="dxa"/>
              <w:left w:w="120" w:type="dxa"/>
              <w:bottom w:w="80" w:type="dxa"/>
              <w:right w:w="100" w:type="dxa"/>
            </w:tcMar>
            <w:vAlign w:val="center"/>
          </w:tcPr>
          <w:p w:rsidR="00D22AE7" w:rsidRDefault="005A1FFD">
            <w:r>
              <w:rPr>
                <w:b/>
                <w:bCs/>
                <w:color w:val="1B3A6B"/>
                <w:sz w:val="20"/>
                <w:szCs w:val="20"/>
              </w:rPr>
              <w:t>Quality / Performance History</w:t>
            </w:r>
          </w:p>
        </w:tc>
        <w:tc>
          <w:tcPr>
            <w:tcW w:w="7160" w:type="dxa"/>
            <w:tcBorders>
              <w:top w:val="single" w:sz="6" w:space="0" w:color="B8C5D6"/>
              <w:left w:val="single" w:sz="6" w:space="0" w:color="B8C5D6"/>
              <w:bottom w:val="single" w:sz="6" w:space="0" w:color="B8C5D6"/>
              <w:right w:val="single" w:sz="6" w:space="0" w:color="B8C5D6"/>
            </w:tcBorders>
            <w:shd w:val="clear" w:color="auto" w:fill="F7F9FC"/>
            <w:tcMar>
              <w:top w:w="80" w:type="dxa"/>
              <w:left w:w="120" w:type="dxa"/>
              <w:bottom w:w="80" w:type="dxa"/>
              <w:right w:w="100" w:type="dxa"/>
            </w:tcMar>
          </w:tcPr>
          <w:p w:rsidR="00D22AE7" w:rsidRDefault="005A1FFD">
            <w:r>
              <w:rPr>
                <w:sz w:val="20"/>
                <w:szCs w:val="20"/>
              </w:rPr>
              <w:t>Evaluate response time</w:t>
            </w:r>
            <w:r>
              <w:rPr>
                <w:sz w:val="20"/>
                <w:szCs w:val="20"/>
              </w:rPr>
              <w:t xml:space="preserve"> SLAs (e.g., emergency maintenance response &lt; 4 hours), preventive maintenance completion rates, and facility inspection scores. Assess tenant/occupant satisfaction survey data where available.</w:t>
            </w:r>
          </w:p>
        </w:tc>
      </w:tr>
      <w:tr w:rsidR="00D22AE7">
        <w:tblPrEx>
          <w:tblCellMar>
            <w:top w:w="0" w:type="dxa"/>
            <w:bottom w:w="0" w:type="dxa"/>
          </w:tblCellMar>
        </w:tblPrEx>
        <w:tc>
          <w:tcPr>
            <w:tcW w:w="2200" w:type="dxa"/>
            <w:tcBorders>
              <w:top w:val="single" w:sz="6" w:space="0" w:color="B8C5D6"/>
              <w:left w:val="single" w:sz="6" w:space="0" w:color="B8C5D6"/>
              <w:bottom w:val="single" w:sz="6" w:space="0" w:color="B8C5D6"/>
              <w:right w:val="single" w:sz="6" w:space="0" w:color="B8C5D6"/>
            </w:tcBorders>
            <w:shd w:val="clear" w:color="auto" w:fill="FFFFFF"/>
            <w:tcMar>
              <w:top w:w="80" w:type="dxa"/>
              <w:left w:w="120" w:type="dxa"/>
              <w:bottom w:w="80" w:type="dxa"/>
              <w:right w:w="100" w:type="dxa"/>
            </w:tcMar>
            <w:vAlign w:val="center"/>
          </w:tcPr>
          <w:p w:rsidR="00D22AE7" w:rsidRDefault="005A1FFD">
            <w:r>
              <w:rPr>
                <w:b/>
                <w:bCs/>
                <w:color w:val="1B3A6B"/>
                <w:sz w:val="20"/>
                <w:szCs w:val="20"/>
              </w:rPr>
              <w:t>Operational Capacity</w:t>
            </w:r>
          </w:p>
        </w:tc>
        <w:tc>
          <w:tcPr>
            <w:tcW w:w="7160" w:type="dxa"/>
            <w:tcBorders>
              <w:top w:val="single" w:sz="6" w:space="0" w:color="B8C5D6"/>
              <w:left w:val="single" w:sz="6" w:space="0" w:color="B8C5D6"/>
              <w:bottom w:val="single" w:sz="6" w:space="0" w:color="B8C5D6"/>
              <w:right w:val="single" w:sz="6" w:space="0" w:color="B8C5D6"/>
            </w:tcBorders>
            <w:shd w:val="clear" w:color="auto" w:fill="FFFFFF"/>
            <w:tcMar>
              <w:top w:w="80" w:type="dxa"/>
              <w:left w:w="120" w:type="dxa"/>
              <w:bottom w:w="80" w:type="dxa"/>
              <w:right w:w="100" w:type="dxa"/>
            </w:tcMar>
          </w:tcPr>
          <w:p w:rsidR="00D22AE7" w:rsidRDefault="005A1FFD">
            <w:r>
              <w:rPr>
                <w:sz w:val="20"/>
                <w:szCs w:val="20"/>
              </w:rPr>
              <w:t>Verify staffing levels relative to managed square footage. Assess staff turnover rates (high turnover is a key risk indicator for FM vendors). Confirm backup coverage plans for key personnel and after-hours coverage.</w:t>
            </w:r>
          </w:p>
        </w:tc>
      </w:tr>
      <w:tr w:rsidR="00D22AE7">
        <w:tblPrEx>
          <w:tblCellMar>
            <w:top w:w="0" w:type="dxa"/>
            <w:bottom w:w="0" w:type="dxa"/>
          </w:tblCellMar>
        </w:tblPrEx>
        <w:tc>
          <w:tcPr>
            <w:tcW w:w="2200" w:type="dxa"/>
            <w:tcBorders>
              <w:top w:val="single" w:sz="6" w:space="0" w:color="B8C5D6"/>
              <w:left w:val="single" w:sz="6" w:space="0" w:color="B8C5D6"/>
              <w:bottom w:val="single" w:sz="6" w:space="0" w:color="B8C5D6"/>
              <w:right w:val="single" w:sz="6" w:space="0" w:color="B8C5D6"/>
            </w:tcBorders>
            <w:shd w:val="clear" w:color="auto" w:fill="F7F9FC"/>
            <w:tcMar>
              <w:top w:w="80" w:type="dxa"/>
              <w:left w:w="120" w:type="dxa"/>
              <w:bottom w:w="80" w:type="dxa"/>
              <w:right w:w="100" w:type="dxa"/>
            </w:tcMar>
            <w:vAlign w:val="center"/>
          </w:tcPr>
          <w:p w:rsidR="00D22AE7" w:rsidRDefault="005A1FFD">
            <w:r>
              <w:rPr>
                <w:b/>
                <w:bCs/>
                <w:color w:val="1B3A6B"/>
                <w:sz w:val="20"/>
                <w:szCs w:val="20"/>
              </w:rPr>
              <w:t>Compliance Record</w:t>
            </w:r>
          </w:p>
        </w:tc>
        <w:tc>
          <w:tcPr>
            <w:tcW w:w="7160" w:type="dxa"/>
            <w:tcBorders>
              <w:top w:val="single" w:sz="6" w:space="0" w:color="B8C5D6"/>
              <w:left w:val="single" w:sz="6" w:space="0" w:color="B8C5D6"/>
              <w:bottom w:val="single" w:sz="6" w:space="0" w:color="B8C5D6"/>
              <w:right w:val="single" w:sz="6" w:space="0" w:color="B8C5D6"/>
            </w:tcBorders>
            <w:shd w:val="clear" w:color="auto" w:fill="F7F9FC"/>
            <w:tcMar>
              <w:top w:w="80" w:type="dxa"/>
              <w:left w:w="120" w:type="dxa"/>
              <w:bottom w:w="80" w:type="dxa"/>
              <w:right w:w="100" w:type="dxa"/>
            </w:tcMar>
          </w:tcPr>
          <w:p w:rsidR="00D22AE7" w:rsidRDefault="005A1FFD">
            <w:r>
              <w:rPr>
                <w:sz w:val="20"/>
                <w:szCs w:val="20"/>
              </w:rPr>
              <w:t>Verify applicable trade licenses (HVAC, electrical, plumbing). Check environmental compliance for chemical handling (cleaning products, refrigerants). Confirm security guard licensing in applicable jurisdictions.</w:t>
            </w:r>
          </w:p>
        </w:tc>
      </w:tr>
      <w:tr w:rsidR="00D22AE7">
        <w:tblPrEx>
          <w:tblCellMar>
            <w:top w:w="0" w:type="dxa"/>
            <w:bottom w:w="0" w:type="dxa"/>
          </w:tblCellMar>
        </w:tblPrEx>
        <w:tc>
          <w:tcPr>
            <w:tcW w:w="2200" w:type="dxa"/>
            <w:tcBorders>
              <w:top w:val="single" w:sz="6" w:space="0" w:color="B8C5D6"/>
              <w:left w:val="single" w:sz="6" w:space="0" w:color="B8C5D6"/>
              <w:bottom w:val="single" w:sz="6" w:space="0" w:color="B8C5D6"/>
              <w:right w:val="single" w:sz="6" w:space="0" w:color="B8C5D6"/>
            </w:tcBorders>
            <w:shd w:val="clear" w:color="auto" w:fill="FFFFFF"/>
            <w:tcMar>
              <w:top w:w="80" w:type="dxa"/>
              <w:left w:w="120" w:type="dxa"/>
              <w:bottom w:w="80" w:type="dxa"/>
              <w:right w:w="100" w:type="dxa"/>
            </w:tcMar>
            <w:vAlign w:val="center"/>
          </w:tcPr>
          <w:p w:rsidR="00D22AE7" w:rsidRDefault="005A1FFD">
            <w:r>
              <w:rPr>
                <w:b/>
                <w:bCs/>
                <w:color w:val="1B3A6B"/>
                <w:sz w:val="20"/>
                <w:szCs w:val="20"/>
              </w:rPr>
              <w:t>Technology Capabilities</w:t>
            </w:r>
          </w:p>
        </w:tc>
        <w:tc>
          <w:tcPr>
            <w:tcW w:w="7160" w:type="dxa"/>
            <w:tcBorders>
              <w:top w:val="single" w:sz="6" w:space="0" w:color="B8C5D6"/>
              <w:left w:val="single" w:sz="6" w:space="0" w:color="B8C5D6"/>
              <w:bottom w:val="single" w:sz="6" w:space="0" w:color="B8C5D6"/>
              <w:right w:val="single" w:sz="6" w:space="0" w:color="B8C5D6"/>
            </w:tcBorders>
            <w:shd w:val="clear" w:color="auto" w:fill="FFFFFF"/>
            <w:tcMar>
              <w:top w:w="80" w:type="dxa"/>
              <w:left w:w="120" w:type="dxa"/>
              <w:bottom w:w="80" w:type="dxa"/>
              <w:right w:w="100" w:type="dxa"/>
            </w:tcMar>
          </w:tcPr>
          <w:p w:rsidR="00D22AE7" w:rsidRDefault="005A1FFD">
            <w:r>
              <w:rPr>
                <w:sz w:val="20"/>
                <w:szCs w:val="20"/>
              </w:rPr>
              <w:t>Assess CMMS (Computerized Maintenance Management System) usage, preventive maintenance scheduling software, and reporting dashboards. Evaluate IoT/BMS integration capabilities for smart building environments.</w:t>
            </w:r>
          </w:p>
        </w:tc>
      </w:tr>
    </w:tbl>
    <w:p w:rsidR="00D22AE7" w:rsidRDefault="00D22AE7">
      <w:pPr>
        <w:spacing w:before="140" w:after="0"/>
      </w:pPr>
    </w:p>
    <w:tbl>
      <w:tblPr>
        <w:tblW w:w="10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7160"/>
      </w:tblGrid>
      <w:tr w:rsidR="00D22AE7">
        <w:tblPrEx>
          <w:tblCellMar>
            <w:top w:w="0" w:type="dxa"/>
            <w:bottom w:w="0" w:type="dxa"/>
          </w:tblCellMar>
        </w:tblPrEx>
        <w:trPr>
          <w:tblHeader/>
        </w:trPr>
        <w:tc>
          <w:tcPr>
            <w:tcW w:w="9360" w:type="dxa"/>
            <w:gridSpan w:val="2"/>
            <w:tcBorders>
              <w:top w:val="single" w:sz="6" w:space="0" w:color="B8C5D6"/>
              <w:left w:val="single" w:sz="6" w:space="0" w:color="B8C5D6"/>
              <w:bottom w:val="single" w:sz="6" w:space="0" w:color="B8C5D6"/>
              <w:right w:val="single" w:sz="6" w:space="0" w:color="B8C5D6"/>
            </w:tcBorders>
            <w:shd w:val="clear" w:color="auto" w:fill="EDE7F6"/>
            <w:tcMar>
              <w:top w:w="120" w:type="dxa"/>
              <w:left w:w="180" w:type="dxa"/>
              <w:bottom w:w="120" w:type="dxa"/>
              <w:right w:w="180" w:type="dxa"/>
            </w:tcMar>
          </w:tcPr>
          <w:p w:rsidR="00D22AE7" w:rsidRDefault="005A1FFD">
            <w:r>
              <w:rPr>
                <w:b/>
                <w:bCs/>
                <w:color w:val="4A148C"/>
              </w:rPr>
              <w:t>A.4: Logistics / Transportation (Freight, Last-Mile Delivery, Fleet Services, Warehousing)</w:t>
            </w:r>
          </w:p>
        </w:tc>
      </w:tr>
      <w:tr w:rsidR="00D22AE7">
        <w:tblPrEx>
          <w:tblCellMar>
            <w:top w:w="0" w:type="dxa"/>
            <w:bottom w:w="0" w:type="dxa"/>
          </w:tblCellMar>
        </w:tblPrEx>
        <w:tc>
          <w:tcPr>
            <w:tcW w:w="2200" w:type="dxa"/>
            <w:tcBorders>
              <w:top w:val="single" w:sz="6" w:space="0" w:color="B8C5D6"/>
              <w:left w:val="single" w:sz="6" w:space="0" w:color="B8C5D6"/>
              <w:bottom w:val="single" w:sz="6" w:space="0" w:color="B8C5D6"/>
              <w:right w:val="single" w:sz="6" w:space="0" w:color="B8C5D6"/>
            </w:tcBorders>
            <w:shd w:val="clear" w:color="auto" w:fill="F7F9FC"/>
            <w:tcMar>
              <w:top w:w="80" w:type="dxa"/>
              <w:left w:w="120" w:type="dxa"/>
              <w:bottom w:w="80" w:type="dxa"/>
              <w:right w:w="100" w:type="dxa"/>
            </w:tcMar>
            <w:vAlign w:val="center"/>
          </w:tcPr>
          <w:p w:rsidR="00D22AE7" w:rsidRDefault="005A1FFD">
            <w:r>
              <w:rPr>
                <w:b/>
                <w:bCs/>
                <w:color w:val="1B3A6B"/>
                <w:sz w:val="20"/>
                <w:szCs w:val="20"/>
              </w:rPr>
              <w:t>Financial Stability</w:t>
            </w:r>
          </w:p>
        </w:tc>
        <w:tc>
          <w:tcPr>
            <w:tcW w:w="7160" w:type="dxa"/>
            <w:tcBorders>
              <w:top w:val="single" w:sz="6" w:space="0" w:color="B8C5D6"/>
              <w:left w:val="single" w:sz="6" w:space="0" w:color="B8C5D6"/>
              <w:bottom w:val="single" w:sz="6" w:space="0" w:color="B8C5D6"/>
              <w:right w:val="single" w:sz="6" w:space="0" w:color="B8C5D6"/>
            </w:tcBorders>
            <w:shd w:val="clear" w:color="auto" w:fill="F7F9FC"/>
            <w:tcMar>
              <w:top w:w="80" w:type="dxa"/>
              <w:left w:w="120" w:type="dxa"/>
              <w:bottom w:w="80" w:type="dxa"/>
              <w:right w:w="100" w:type="dxa"/>
            </w:tcMar>
          </w:tcPr>
          <w:p w:rsidR="00D22AE7" w:rsidRDefault="005A1FFD">
            <w:r>
              <w:rPr>
                <w:sz w:val="20"/>
                <w:szCs w:val="20"/>
              </w:rPr>
              <w:t>Logistics vendors are particularly exposed to fuel price volatility and labor costs. Evaluate hedging strategies, variable cost exposure, and working capital adequacy. For asset-heavy vendors (own fleet), assess fleet age, depreciation schedules, and capit</w:t>
            </w:r>
            <w:r>
              <w:rPr>
                <w:sz w:val="20"/>
                <w:szCs w:val="20"/>
              </w:rPr>
              <w:t>al expenditure plans.</w:t>
            </w:r>
          </w:p>
        </w:tc>
      </w:tr>
      <w:tr w:rsidR="00D22AE7">
        <w:tblPrEx>
          <w:tblCellMar>
            <w:top w:w="0" w:type="dxa"/>
            <w:bottom w:w="0" w:type="dxa"/>
          </w:tblCellMar>
        </w:tblPrEx>
        <w:tc>
          <w:tcPr>
            <w:tcW w:w="2200" w:type="dxa"/>
            <w:tcBorders>
              <w:top w:val="single" w:sz="6" w:space="0" w:color="B8C5D6"/>
              <w:left w:val="single" w:sz="6" w:space="0" w:color="B8C5D6"/>
              <w:bottom w:val="single" w:sz="6" w:space="0" w:color="B8C5D6"/>
              <w:right w:val="single" w:sz="6" w:space="0" w:color="B8C5D6"/>
            </w:tcBorders>
            <w:shd w:val="clear" w:color="auto" w:fill="FFFFFF"/>
            <w:tcMar>
              <w:top w:w="80" w:type="dxa"/>
              <w:left w:w="120" w:type="dxa"/>
              <w:bottom w:w="80" w:type="dxa"/>
              <w:right w:w="100" w:type="dxa"/>
            </w:tcMar>
            <w:vAlign w:val="center"/>
          </w:tcPr>
          <w:p w:rsidR="00D22AE7" w:rsidRDefault="005A1FFD">
            <w:r>
              <w:rPr>
                <w:b/>
                <w:bCs/>
                <w:color w:val="1B3A6B"/>
                <w:sz w:val="20"/>
                <w:szCs w:val="20"/>
              </w:rPr>
              <w:t>Safety Performance</w:t>
            </w:r>
          </w:p>
        </w:tc>
        <w:tc>
          <w:tcPr>
            <w:tcW w:w="7160" w:type="dxa"/>
            <w:tcBorders>
              <w:top w:val="single" w:sz="6" w:space="0" w:color="B8C5D6"/>
              <w:left w:val="single" w:sz="6" w:space="0" w:color="B8C5D6"/>
              <w:bottom w:val="single" w:sz="6" w:space="0" w:color="B8C5D6"/>
              <w:right w:val="single" w:sz="6" w:space="0" w:color="B8C5D6"/>
            </w:tcBorders>
            <w:shd w:val="clear" w:color="auto" w:fill="FFFFFF"/>
            <w:tcMar>
              <w:top w:w="80" w:type="dxa"/>
              <w:left w:w="120" w:type="dxa"/>
              <w:bottom w:w="80" w:type="dxa"/>
              <w:right w:w="100" w:type="dxa"/>
            </w:tcMar>
          </w:tcPr>
          <w:p w:rsidR="00D22AE7" w:rsidRDefault="005A1FFD">
            <w:r>
              <w:rPr>
                <w:sz w:val="20"/>
                <w:szCs w:val="20"/>
              </w:rPr>
              <w:t>Field-based metrics apply. For motor carriers, evaluate FMCSA Safety Measurement System (SMS) scores, DOT compliance ratings, and accident frequency rates. For warehousing vendors, evaluate OSHA 300 logs and material handling incident history. Driver quali</w:t>
            </w:r>
            <w:r>
              <w:rPr>
                <w:sz w:val="20"/>
                <w:szCs w:val="20"/>
              </w:rPr>
              <w:t>fication file compliance is a key indicator.</w:t>
            </w:r>
          </w:p>
        </w:tc>
      </w:tr>
      <w:tr w:rsidR="00D22AE7">
        <w:tblPrEx>
          <w:tblCellMar>
            <w:top w:w="0" w:type="dxa"/>
            <w:bottom w:w="0" w:type="dxa"/>
          </w:tblCellMar>
        </w:tblPrEx>
        <w:tc>
          <w:tcPr>
            <w:tcW w:w="2200" w:type="dxa"/>
            <w:tcBorders>
              <w:top w:val="single" w:sz="6" w:space="0" w:color="B8C5D6"/>
              <w:left w:val="single" w:sz="6" w:space="0" w:color="B8C5D6"/>
              <w:bottom w:val="single" w:sz="6" w:space="0" w:color="B8C5D6"/>
              <w:right w:val="single" w:sz="6" w:space="0" w:color="B8C5D6"/>
            </w:tcBorders>
            <w:shd w:val="clear" w:color="auto" w:fill="F7F9FC"/>
            <w:tcMar>
              <w:top w:w="80" w:type="dxa"/>
              <w:left w:w="120" w:type="dxa"/>
              <w:bottom w:w="80" w:type="dxa"/>
              <w:right w:w="100" w:type="dxa"/>
            </w:tcMar>
            <w:vAlign w:val="center"/>
          </w:tcPr>
          <w:p w:rsidR="00D22AE7" w:rsidRDefault="005A1FFD">
            <w:r>
              <w:rPr>
                <w:b/>
                <w:bCs/>
                <w:color w:val="1B3A6B"/>
                <w:sz w:val="20"/>
                <w:szCs w:val="20"/>
              </w:rPr>
              <w:t>Quality / Performance History</w:t>
            </w:r>
          </w:p>
        </w:tc>
        <w:tc>
          <w:tcPr>
            <w:tcW w:w="7160" w:type="dxa"/>
            <w:tcBorders>
              <w:top w:val="single" w:sz="6" w:space="0" w:color="B8C5D6"/>
              <w:left w:val="single" w:sz="6" w:space="0" w:color="B8C5D6"/>
              <w:bottom w:val="single" w:sz="6" w:space="0" w:color="B8C5D6"/>
              <w:right w:val="single" w:sz="6" w:space="0" w:color="B8C5D6"/>
            </w:tcBorders>
            <w:shd w:val="clear" w:color="auto" w:fill="F7F9FC"/>
            <w:tcMar>
              <w:top w:w="80" w:type="dxa"/>
              <w:left w:w="120" w:type="dxa"/>
              <w:bottom w:w="80" w:type="dxa"/>
              <w:right w:w="100" w:type="dxa"/>
            </w:tcMar>
          </w:tcPr>
          <w:p w:rsidR="00D22AE7" w:rsidRDefault="005A1FFD">
            <w:r>
              <w:rPr>
                <w:sz w:val="20"/>
                <w:szCs w:val="20"/>
              </w:rPr>
              <w:t>Evaluate on-time delivery rates (target: 95%+ for standard freight), damage/loss rates (target: &lt; 0.1% of shipments), and claims resolution timelines. For warehousing, assess inven</w:t>
            </w:r>
            <w:r>
              <w:rPr>
                <w:sz w:val="20"/>
                <w:szCs w:val="20"/>
              </w:rPr>
              <w:t>tory accuracy rates and order fulfillment cycle times.</w:t>
            </w:r>
          </w:p>
        </w:tc>
      </w:tr>
      <w:tr w:rsidR="00D22AE7">
        <w:tblPrEx>
          <w:tblCellMar>
            <w:top w:w="0" w:type="dxa"/>
            <w:bottom w:w="0" w:type="dxa"/>
          </w:tblCellMar>
        </w:tblPrEx>
        <w:tc>
          <w:tcPr>
            <w:tcW w:w="2200" w:type="dxa"/>
            <w:tcBorders>
              <w:top w:val="single" w:sz="6" w:space="0" w:color="B8C5D6"/>
              <w:left w:val="single" w:sz="6" w:space="0" w:color="B8C5D6"/>
              <w:bottom w:val="single" w:sz="6" w:space="0" w:color="B8C5D6"/>
              <w:right w:val="single" w:sz="6" w:space="0" w:color="B8C5D6"/>
            </w:tcBorders>
            <w:shd w:val="clear" w:color="auto" w:fill="FFFFFF"/>
            <w:tcMar>
              <w:top w:w="80" w:type="dxa"/>
              <w:left w:w="120" w:type="dxa"/>
              <w:bottom w:w="80" w:type="dxa"/>
              <w:right w:w="100" w:type="dxa"/>
            </w:tcMar>
            <w:vAlign w:val="center"/>
          </w:tcPr>
          <w:p w:rsidR="00D22AE7" w:rsidRDefault="005A1FFD">
            <w:r>
              <w:rPr>
                <w:b/>
                <w:bCs/>
                <w:color w:val="1B3A6B"/>
                <w:sz w:val="20"/>
                <w:szCs w:val="20"/>
              </w:rPr>
              <w:t>Operational Capacity</w:t>
            </w:r>
          </w:p>
        </w:tc>
        <w:tc>
          <w:tcPr>
            <w:tcW w:w="7160" w:type="dxa"/>
            <w:tcBorders>
              <w:top w:val="single" w:sz="6" w:space="0" w:color="B8C5D6"/>
              <w:left w:val="single" w:sz="6" w:space="0" w:color="B8C5D6"/>
              <w:bottom w:val="single" w:sz="6" w:space="0" w:color="B8C5D6"/>
              <w:right w:val="single" w:sz="6" w:space="0" w:color="B8C5D6"/>
            </w:tcBorders>
            <w:shd w:val="clear" w:color="auto" w:fill="FFFFFF"/>
            <w:tcMar>
              <w:top w:w="80" w:type="dxa"/>
              <w:left w:w="120" w:type="dxa"/>
              <w:bottom w:w="80" w:type="dxa"/>
              <w:right w:w="100" w:type="dxa"/>
            </w:tcMar>
          </w:tcPr>
          <w:p w:rsidR="00D22AE7" w:rsidRDefault="005A1FFD">
            <w:r>
              <w:rPr>
                <w:sz w:val="20"/>
                <w:szCs w:val="20"/>
              </w:rPr>
              <w:t>Assess fleet size and availability relative to WWRGD volume requirements. Evaluate seasonal capacity fluctuations and contingency carrier relationships. Confirm geographic coverage matches delivery requirements.</w:t>
            </w:r>
          </w:p>
        </w:tc>
      </w:tr>
      <w:tr w:rsidR="00D22AE7">
        <w:tblPrEx>
          <w:tblCellMar>
            <w:top w:w="0" w:type="dxa"/>
            <w:bottom w:w="0" w:type="dxa"/>
          </w:tblCellMar>
        </w:tblPrEx>
        <w:tc>
          <w:tcPr>
            <w:tcW w:w="2200" w:type="dxa"/>
            <w:tcBorders>
              <w:top w:val="single" w:sz="6" w:space="0" w:color="B8C5D6"/>
              <w:left w:val="single" w:sz="6" w:space="0" w:color="B8C5D6"/>
              <w:bottom w:val="single" w:sz="6" w:space="0" w:color="B8C5D6"/>
              <w:right w:val="single" w:sz="6" w:space="0" w:color="B8C5D6"/>
            </w:tcBorders>
            <w:shd w:val="clear" w:color="auto" w:fill="F7F9FC"/>
            <w:tcMar>
              <w:top w:w="80" w:type="dxa"/>
              <w:left w:w="120" w:type="dxa"/>
              <w:bottom w:w="80" w:type="dxa"/>
              <w:right w:w="100" w:type="dxa"/>
            </w:tcMar>
            <w:vAlign w:val="center"/>
          </w:tcPr>
          <w:p w:rsidR="00D22AE7" w:rsidRDefault="005A1FFD">
            <w:r>
              <w:rPr>
                <w:b/>
                <w:bCs/>
                <w:color w:val="1B3A6B"/>
                <w:sz w:val="20"/>
                <w:szCs w:val="20"/>
              </w:rPr>
              <w:t>Compliance Record</w:t>
            </w:r>
          </w:p>
        </w:tc>
        <w:tc>
          <w:tcPr>
            <w:tcW w:w="7160" w:type="dxa"/>
            <w:tcBorders>
              <w:top w:val="single" w:sz="6" w:space="0" w:color="B8C5D6"/>
              <w:left w:val="single" w:sz="6" w:space="0" w:color="B8C5D6"/>
              <w:bottom w:val="single" w:sz="6" w:space="0" w:color="B8C5D6"/>
              <w:right w:val="single" w:sz="6" w:space="0" w:color="B8C5D6"/>
            </w:tcBorders>
            <w:shd w:val="clear" w:color="auto" w:fill="F7F9FC"/>
            <w:tcMar>
              <w:top w:w="80" w:type="dxa"/>
              <w:left w:w="120" w:type="dxa"/>
              <w:bottom w:w="80" w:type="dxa"/>
              <w:right w:w="100" w:type="dxa"/>
            </w:tcMar>
          </w:tcPr>
          <w:p w:rsidR="00D22AE7" w:rsidRDefault="005A1FFD">
            <w:r>
              <w:rPr>
                <w:sz w:val="20"/>
                <w:szCs w:val="20"/>
              </w:rPr>
              <w:t>Verify FMCSA operating authority, DOT numbers, and USDOT compliance history. Confirm hazmat certification if applicable. Check customs/trade compliance for international logistics. Verify C-TPAT membership for cross-border vendors.</w:t>
            </w:r>
          </w:p>
        </w:tc>
      </w:tr>
      <w:tr w:rsidR="00D22AE7">
        <w:tblPrEx>
          <w:tblCellMar>
            <w:top w:w="0" w:type="dxa"/>
            <w:bottom w:w="0" w:type="dxa"/>
          </w:tblCellMar>
        </w:tblPrEx>
        <w:tc>
          <w:tcPr>
            <w:tcW w:w="2200" w:type="dxa"/>
            <w:tcBorders>
              <w:top w:val="single" w:sz="6" w:space="0" w:color="B8C5D6"/>
              <w:left w:val="single" w:sz="6" w:space="0" w:color="B8C5D6"/>
              <w:bottom w:val="single" w:sz="6" w:space="0" w:color="B8C5D6"/>
              <w:right w:val="single" w:sz="6" w:space="0" w:color="B8C5D6"/>
            </w:tcBorders>
            <w:shd w:val="clear" w:color="auto" w:fill="FFFFFF"/>
            <w:tcMar>
              <w:top w:w="80" w:type="dxa"/>
              <w:left w:w="120" w:type="dxa"/>
              <w:bottom w:w="80" w:type="dxa"/>
              <w:right w:w="100" w:type="dxa"/>
            </w:tcMar>
            <w:vAlign w:val="center"/>
          </w:tcPr>
          <w:p w:rsidR="00D22AE7" w:rsidRDefault="005A1FFD">
            <w:r>
              <w:rPr>
                <w:b/>
                <w:bCs/>
                <w:color w:val="1B3A6B"/>
                <w:sz w:val="20"/>
                <w:szCs w:val="20"/>
              </w:rPr>
              <w:t>Technology Capabilities</w:t>
            </w:r>
          </w:p>
        </w:tc>
        <w:tc>
          <w:tcPr>
            <w:tcW w:w="7160" w:type="dxa"/>
            <w:tcBorders>
              <w:top w:val="single" w:sz="6" w:space="0" w:color="B8C5D6"/>
              <w:left w:val="single" w:sz="6" w:space="0" w:color="B8C5D6"/>
              <w:bottom w:val="single" w:sz="6" w:space="0" w:color="B8C5D6"/>
              <w:right w:val="single" w:sz="6" w:space="0" w:color="B8C5D6"/>
            </w:tcBorders>
            <w:shd w:val="clear" w:color="auto" w:fill="FFFFFF"/>
            <w:tcMar>
              <w:top w:w="80" w:type="dxa"/>
              <w:left w:w="120" w:type="dxa"/>
              <w:bottom w:w="80" w:type="dxa"/>
              <w:right w:w="100" w:type="dxa"/>
            </w:tcMar>
          </w:tcPr>
          <w:p w:rsidR="00D22AE7" w:rsidRDefault="005A1FFD">
            <w:r>
              <w:rPr>
                <w:sz w:val="20"/>
                <w:szCs w:val="20"/>
              </w:rPr>
              <w:t>Assess TMS (Transportation Management System) capabilities, real-time tracking and visibility tools (GPS, track-and-trace portals), EDI compliance, and API integration with WWRGD procurement systems. Evaluate reporting on KPIs.</w:t>
            </w:r>
          </w:p>
        </w:tc>
      </w:tr>
    </w:tbl>
    <w:p w:rsidR="00D22AE7" w:rsidRDefault="00D22AE7">
      <w:pPr>
        <w:spacing w:before="140" w:after="0"/>
      </w:pPr>
    </w:p>
    <w:tbl>
      <w:tblPr>
        <w:tblW w:w="10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7160"/>
      </w:tblGrid>
      <w:tr w:rsidR="00D22AE7">
        <w:tblPrEx>
          <w:tblCellMar>
            <w:top w:w="0" w:type="dxa"/>
            <w:bottom w:w="0" w:type="dxa"/>
          </w:tblCellMar>
        </w:tblPrEx>
        <w:trPr>
          <w:tblHeader/>
        </w:trPr>
        <w:tc>
          <w:tcPr>
            <w:tcW w:w="9360" w:type="dxa"/>
            <w:gridSpan w:val="2"/>
            <w:tcBorders>
              <w:top w:val="single" w:sz="6" w:space="0" w:color="B8C5D6"/>
              <w:left w:val="single" w:sz="6" w:space="0" w:color="B8C5D6"/>
              <w:bottom w:val="single" w:sz="6" w:space="0" w:color="B8C5D6"/>
              <w:right w:val="single" w:sz="6" w:space="0" w:color="B8C5D6"/>
            </w:tcBorders>
            <w:shd w:val="clear" w:color="auto" w:fill="FCE4EC"/>
            <w:tcMar>
              <w:top w:w="120" w:type="dxa"/>
              <w:left w:w="180" w:type="dxa"/>
              <w:bottom w:w="120" w:type="dxa"/>
              <w:right w:w="180" w:type="dxa"/>
            </w:tcMar>
          </w:tcPr>
          <w:p w:rsidR="00D22AE7" w:rsidRDefault="005A1FFD">
            <w:r>
              <w:rPr>
                <w:b/>
                <w:bCs/>
                <w:color w:val="7B0020"/>
              </w:rPr>
              <w:t>A.5: Equipment / Material Suppliers (Manufacturing, Wholesale, Distribution, Specialty Suppliers)</w:t>
            </w:r>
          </w:p>
        </w:tc>
      </w:tr>
      <w:tr w:rsidR="00D22AE7">
        <w:tblPrEx>
          <w:tblCellMar>
            <w:top w:w="0" w:type="dxa"/>
            <w:bottom w:w="0" w:type="dxa"/>
          </w:tblCellMar>
        </w:tblPrEx>
        <w:tc>
          <w:tcPr>
            <w:tcW w:w="2200" w:type="dxa"/>
            <w:tcBorders>
              <w:top w:val="single" w:sz="6" w:space="0" w:color="B8C5D6"/>
              <w:left w:val="single" w:sz="6" w:space="0" w:color="B8C5D6"/>
              <w:bottom w:val="single" w:sz="6" w:space="0" w:color="B8C5D6"/>
              <w:right w:val="single" w:sz="6" w:space="0" w:color="B8C5D6"/>
            </w:tcBorders>
            <w:shd w:val="clear" w:color="auto" w:fill="F7F9FC"/>
            <w:tcMar>
              <w:top w:w="80" w:type="dxa"/>
              <w:left w:w="120" w:type="dxa"/>
              <w:bottom w:w="80" w:type="dxa"/>
              <w:right w:w="100" w:type="dxa"/>
            </w:tcMar>
            <w:vAlign w:val="center"/>
          </w:tcPr>
          <w:p w:rsidR="00D22AE7" w:rsidRDefault="005A1FFD">
            <w:r>
              <w:rPr>
                <w:b/>
                <w:bCs/>
                <w:color w:val="1B3A6B"/>
                <w:sz w:val="20"/>
                <w:szCs w:val="20"/>
              </w:rPr>
              <w:t>Financial Stability</w:t>
            </w:r>
          </w:p>
        </w:tc>
        <w:tc>
          <w:tcPr>
            <w:tcW w:w="7160" w:type="dxa"/>
            <w:tcBorders>
              <w:top w:val="single" w:sz="6" w:space="0" w:color="B8C5D6"/>
              <w:left w:val="single" w:sz="6" w:space="0" w:color="B8C5D6"/>
              <w:bottom w:val="single" w:sz="6" w:space="0" w:color="B8C5D6"/>
              <w:right w:val="single" w:sz="6" w:space="0" w:color="B8C5D6"/>
            </w:tcBorders>
            <w:shd w:val="clear" w:color="auto" w:fill="F7F9FC"/>
            <w:tcMar>
              <w:top w:w="80" w:type="dxa"/>
              <w:left w:w="120" w:type="dxa"/>
              <w:bottom w:w="80" w:type="dxa"/>
              <w:right w:w="100" w:type="dxa"/>
            </w:tcMar>
          </w:tcPr>
          <w:p w:rsidR="00D22AE7" w:rsidRDefault="005A1FFD">
            <w:r>
              <w:rPr>
                <w:sz w:val="20"/>
                <w:szCs w:val="20"/>
              </w:rPr>
              <w:t>Assess supply chain financial resilience. Evaluate single-source dependency risk — if vendor is the sole source for a critical input, add a supply continuity premium to the risk assessment. Review inventory management practices and lead time reliability. C</w:t>
            </w:r>
            <w:r>
              <w:rPr>
                <w:sz w:val="20"/>
                <w:szCs w:val="20"/>
              </w:rPr>
              <w:t>onfirm credit terms are sustainable.</w:t>
            </w:r>
          </w:p>
        </w:tc>
      </w:tr>
      <w:tr w:rsidR="00D22AE7">
        <w:tblPrEx>
          <w:tblCellMar>
            <w:top w:w="0" w:type="dxa"/>
            <w:bottom w:w="0" w:type="dxa"/>
          </w:tblCellMar>
        </w:tblPrEx>
        <w:tc>
          <w:tcPr>
            <w:tcW w:w="2200" w:type="dxa"/>
            <w:tcBorders>
              <w:top w:val="single" w:sz="6" w:space="0" w:color="B8C5D6"/>
              <w:left w:val="single" w:sz="6" w:space="0" w:color="B8C5D6"/>
              <w:bottom w:val="single" w:sz="6" w:space="0" w:color="B8C5D6"/>
              <w:right w:val="single" w:sz="6" w:space="0" w:color="B8C5D6"/>
            </w:tcBorders>
            <w:shd w:val="clear" w:color="auto" w:fill="FFFFFF"/>
            <w:tcMar>
              <w:top w:w="80" w:type="dxa"/>
              <w:left w:w="120" w:type="dxa"/>
              <w:bottom w:w="80" w:type="dxa"/>
              <w:right w:w="100" w:type="dxa"/>
            </w:tcMar>
            <w:vAlign w:val="center"/>
          </w:tcPr>
          <w:p w:rsidR="00D22AE7" w:rsidRDefault="005A1FFD">
            <w:r>
              <w:rPr>
                <w:b/>
                <w:bCs/>
                <w:color w:val="1B3A6B"/>
                <w:sz w:val="20"/>
                <w:szCs w:val="20"/>
              </w:rPr>
              <w:t>Safety Performance</w:t>
            </w:r>
          </w:p>
        </w:tc>
        <w:tc>
          <w:tcPr>
            <w:tcW w:w="7160" w:type="dxa"/>
            <w:tcBorders>
              <w:top w:val="single" w:sz="6" w:space="0" w:color="B8C5D6"/>
              <w:left w:val="single" w:sz="6" w:space="0" w:color="B8C5D6"/>
              <w:bottom w:val="single" w:sz="6" w:space="0" w:color="B8C5D6"/>
              <w:right w:val="single" w:sz="6" w:space="0" w:color="B8C5D6"/>
            </w:tcBorders>
            <w:shd w:val="clear" w:color="auto" w:fill="FFFFFF"/>
            <w:tcMar>
              <w:top w:w="80" w:type="dxa"/>
              <w:left w:w="120" w:type="dxa"/>
              <w:bottom w:w="80" w:type="dxa"/>
              <w:right w:w="100" w:type="dxa"/>
            </w:tcMar>
          </w:tcPr>
          <w:p w:rsidR="00D22AE7" w:rsidRDefault="005A1FFD">
            <w:r>
              <w:rPr>
                <w:sz w:val="20"/>
                <w:szCs w:val="20"/>
              </w:rPr>
              <w:t>Manufacturing and warehouse environments require field-based safety metrics (TRIR, DART rates). For chemical or hazardous material suppliers, evaluate HazMat compliance, SDS documentation, and spill response capabilities. Evaluate product safety recall his</w:t>
            </w:r>
            <w:r>
              <w:rPr>
                <w:sz w:val="20"/>
                <w:szCs w:val="20"/>
              </w:rPr>
              <w:t>tory.</w:t>
            </w:r>
          </w:p>
        </w:tc>
      </w:tr>
      <w:tr w:rsidR="00D22AE7">
        <w:tblPrEx>
          <w:tblCellMar>
            <w:top w:w="0" w:type="dxa"/>
            <w:bottom w:w="0" w:type="dxa"/>
          </w:tblCellMar>
        </w:tblPrEx>
        <w:tc>
          <w:tcPr>
            <w:tcW w:w="2200" w:type="dxa"/>
            <w:tcBorders>
              <w:top w:val="single" w:sz="6" w:space="0" w:color="B8C5D6"/>
              <w:left w:val="single" w:sz="6" w:space="0" w:color="B8C5D6"/>
              <w:bottom w:val="single" w:sz="6" w:space="0" w:color="B8C5D6"/>
              <w:right w:val="single" w:sz="6" w:space="0" w:color="B8C5D6"/>
            </w:tcBorders>
            <w:shd w:val="clear" w:color="auto" w:fill="F7F9FC"/>
            <w:tcMar>
              <w:top w:w="80" w:type="dxa"/>
              <w:left w:w="120" w:type="dxa"/>
              <w:bottom w:w="80" w:type="dxa"/>
              <w:right w:w="100" w:type="dxa"/>
            </w:tcMar>
            <w:vAlign w:val="center"/>
          </w:tcPr>
          <w:p w:rsidR="00D22AE7" w:rsidRDefault="005A1FFD">
            <w:r>
              <w:rPr>
                <w:b/>
                <w:bCs/>
                <w:color w:val="1B3A6B"/>
                <w:sz w:val="20"/>
                <w:szCs w:val="20"/>
              </w:rPr>
              <w:t>Quality / Performance History</w:t>
            </w:r>
          </w:p>
        </w:tc>
        <w:tc>
          <w:tcPr>
            <w:tcW w:w="7160" w:type="dxa"/>
            <w:tcBorders>
              <w:top w:val="single" w:sz="6" w:space="0" w:color="B8C5D6"/>
              <w:left w:val="single" w:sz="6" w:space="0" w:color="B8C5D6"/>
              <w:bottom w:val="single" w:sz="6" w:space="0" w:color="B8C5D6"/>
              <w:right w:val="single" w:sz="6" w:space="0" w:color="B8C5D6"/>
            </w:tcBorders>
            <w:shd w:val="clear" w:color="auto" w:fill="F7F9FC"/>
            <w:tcMar>
              <w:top w:w="80" w:type="dxa"/>
              <w:left w:w="120" w:type="dxa"/>
              <w:bottom w:w="80" w:type="dxa"/>
              <w:right w:w="100" w:type="dxa"/>
            </w:tcMar>
          </w:tcPr>
          <w:p w:rsidR="00D22AE7" w:rsidRDefault="005A1FFD">
            <w:r>
              <w:rPr>
                <w:sz w:val="20"/>
                <w:szCs w:val="20"/>
              </w:rPr>
              <w:t>Evaluate product defect/rejection rates (target: &lt; 2% for manufactured components), delivery accuracy, and certificate of conformance issuance practices. Assess warranty claim rates and resolution timelines. For materia</w:t>
            </w:r>
            <w:r>
              <w:rPr>
                <w:sz w:val="20"/>
                <w:szCs w:val="20"/>
              </w:rPr>
              <w:t>l suppliers, evaluate batch/lot traceability capabilities.</w:t>
            </w:r>
          </w:p>
        </w:tc>
      </w:tr>
      <w:tr w:rsidR="00D22AE7">
        <w:tblPrEx>
          <w:tblCellMar>
            <w:top w:w="0" w:type="dxa"/>
            <w:bottom w:w="0" w:type="dxa"/>
          </w:tblCellMar>
        </w:tblPrEx>
        <w:tc>
          <w:tcPr>
            <w:tcW w:w="2200" w:type="dxa"/>
            <w:tcBorders>
              <w:top w:val="single" w:sz="6" w:space="0" w:color="B8C5D6"/>
              <w:left w:val="single" w:sz="6" w:space="0" w:color="B8C5D6"/>
              <w:bottom w:val="single" w:sz="6" w:space="0" w:color="B8C5D6"/>
              <w:right w:val="single" w:sz="6" w:space="0" w:color="B8C5D6"/>
            </w:tcBorders>
            <w:shd w:val="clear" w:color="auto" w:fill="FFFFFF"/>
            <w:tcMar>
              <w:top w:w="80" w:type="dxa"/>
              <w:left w:w="120" w:type="dxa"/>
              <w:bottom w:w="80" w:type="dxa"/>
              <w:right w:w="100" w:type="dxa"/>
            </w:tcMar>
            <w:vAlign w:val="center"/>
          </w:tcPr>
          <w:p w:rsidR="00D22AE7" w:rsidRDefault="005A1FFD">
            <w:r>
              <w:rPr>
                <w:b/>
                <w:bCs/>
                <w:color w:val="1B3A6B"/>
                <w:sz w:val="20"/>
                <w:szCs w:val="20"/>
              </w:rPr>
              <w:t>Operational Capacity</w:t>
            </w:r>
          </w:p>
        </w:tc>
        <w:tc>
          <w:tcPr>
            <w:tcW w:w="7160" w:type="dxa"/>
            <w:tcBorders>
              <w:top w:val="single" w:sz="6" w:space="0" w:color="B8C5D6"/>
              <w:left w:val="single" w:sz="6" w:space="0" w:color="B8C5D6"/>
              <w:bottom w:val="single" w:sz="6" w:space="0" w:color="B8C5D6"/>
              <w:right w:val="single" w:sz="6" w:space="0" w:color="B8C5D6"/>
            </w:tcBorders>
            <w:shd w:val="clear" w:color="auto" w:fill="FFFFFF"/>
            <w:tcMar>
              <w:top w:w="80" w:type="dxa"/>
              <w:left w:w="120" w:type="dxa"/>
              <w:bottom w:w="80" w:type="dxa"/>
              <w:right w:w="100" w:type="dxa"/>
            </w:tcMar>
          </w:tcPr>
          <w:p w:rsidR="00D22AE7" w:rsidRDefault="005A1FFD">
            <w:r>
              <w:rPr>
                <w:sz w:val="20"/>
                <w:szCs w:val="20"/>
              </w:rPr>
              <w:t>Assess production capacity relative to WWRGD order volumes, lead times, and MOQ (minimum order quantity) constraints. Evaluate vendor's supplier concentration risk. Review production planning and inventory buffer strategies.</w:t>
            </w:r>
          </w:p>
        </w:tc>
      </w:tr>
      <w:tr w:rsidR="00D22AE7">
        <w:tblPrEx>
          <w:tblCellMar>
            <w:top w:w="0" w:type="dxa"/>
            <w:bottom w:w="0" w:type="dxa"/>
          </w:tblCellMar>
        </w:tblPrEx>
        <w:tc>
          <w:tcPr>
            <w:tcW w:w="2200" w:type="dxa"/>
            <w:tcBorders>
              <w:top w:val="single" w:sz="6" w:space="0" w:color="B8C5D6"/>
              <w:left w:val="single" w:sz="6" w:space="0" w:color="B8C5D6"/>
              <w:bottom w:val="single" w:sz="6" w:space="0" w:color="B8C5D6"/>
              <w:right w:val="single" w:sz="6" w:space="0" w:color="B8C5D6"/>
            </w:tcBorders>
            <w:shd w:val="clear" w:color="auto" w:fill="F7F9FC"/>
            <w:tcMar>
              <w:top w:w="80" w:type="dxa"/>
              <w:left w:w="120" w:type="dxa"/>
              <w:bottom w:w="80" w:type="dxa"/>
              <w:right w:w="100" w:type="dxa"/>
            </w:tcMar>
            <w:vAlign w:val="center"/>
          </w:tcPr>
          <w:p w:rsidR="00D22AE7" w:rsidRDefault="005A1FFD">
            <w:r>
              <w:rPr>
                <w:b/>
                <w:bCs/>
                <w:color w:val="1B3A6B"/>
                <w:sz w:val="20"/>
                <w:szCs w:val="20"/>
              </w:rPr>
              <w:t>Compliance Record</w:t>
            </w:r>
          </w:p>
        </w:tc>
        <w:tc>
          <w:tcPr>
            <w:tcW w:w="7160" w:type="dxa"/>
            <w:tcBorders>
              <w:top w:val="single" w:sz="6" w:space="0" w:color="B8C5D6"/>
              <w:left w:val="single" w:sz="6" w:space="0" w:color="B8C5D6"/>
              <w:bottom w:val="single" w:sz="6" w:space="0" w:color="B8C5D6"/>
              <w:right w:val="single" w:sz="6" w:space="0" w:color="B8C5D6"/>
            </w:tcBorders>
            <w:shd w:val="clear" w:color="auto" w:fill="F7F9FC"/>
            <w:tcMar>
              <w:top w:w="80" w:type="dxa"/>
              <w:left w:w="120" w:type="dxa"/>
              <w:bottom w:w="80" w:type="dxa"/>
              <w:right w:w="100" w:type="dxa"/>
            </w:tcMar>
          </w:tcPr>
          <w:p w:rsidR="00D22AE7" w:rsidRDefault="005A1FFD">
            <w:r>
              <w:rPr>
                <w:sz w:val="20"/>
                <w:szCs w:val="20"/>
              </w:rPr>
              <w:t>Verify product certifications (UL, CE, ASTM, ANSI as applicable). Confirm trade compliance and export control status. For food or pharma-adjacent materials, verify FDA/USDA compliance. Check conflict minerals / supply chain transparency d</w:t>
            </w:r>
            <w:r>
              <w:rPr>
                <w:sz w:val="20"/>
                <w:szCs w:val="20"/>
              </w:rPr>
              <w:t>isclosures (Dodd-Frank, REACH, RoHS).</w:t>
            </w:r>
          </w:p>
        </w:tc>
      </w:tr>
      <w:tr w:rsidR="00D22AE7">
        <w:tblPrEx>
          <w:tblCellMar>
            <w:top w:w="0" w:type="dxa"/>
            <w:bottom w:w="0" w:type="dxa"/>
          </w:tblCellMar>
        </w:tblPrEx>
        <w:tc>
          <w:tcPr>
            <w:tcW w:w="2200" w:type="dxa"/>
            <w:tcBorders>
              <w:top w:val="single" w:sz="6" w:space="0" w:color="B8C5D6"/>
              <w:left w:val="single" w:sz="6" w:space="0" w:color="B8C5D6"/>
              <w:bottom w:val="single" w:sz="6" w:space="0" w:color="B8C5D6"/>
              <w:right w:val="single" w:sz="6" w:space="0" w:color="B8C5D6"/>
            </w:tcBorders>
            <w:shd w:val="clear" w:color="auto" w:fill="FFFFFF"/>
            <w:tcMar>
              <w:top w:w="80" w:type="dxa"/>
              <w:left w:w="120" w:type="dxa"/>
              <w:bottom w:w="80" w:type="dxa"/>
              <w:right w:w="100" w:type="dxa"/>
            </w:tcMar>
            <w:vAlign w:val="center"/>
          </w:tcPr>
          <w:p w:rsidR="00D22AE7" w:rsidRDefault="005A1FFD">
            <w:r>
              <w:rPr>
                <w:b/>
                <w:bCs/>
                <w:color w:val="1B3A6B"/>
                <w:sz w:val="20"/>
                <w:szCs w:val="20"/>
              </w:rPr>
              <w:t>Technology Capabilities</w:t>
            </w:r>
          </w:p>
        </w:tc>
        <w:tc>
          <w:tcPr>
            <w:tcW w:w="7160" w:type="dxa"/>
            <w:tcBorders>
              <w:top w:val="single" w:sz="6" w:space="0" w:color="B8C5D6"/>
              <w:left w:val="single" w:sz="6" w:space="0" w:color="B8C5D6"/>
              <w:bottom w:val="single" w:sz="6" w:space="0" w:color="B8C5D6"/>
              <w:right w:val="single" w:sz="6" w:space="0" w:color="B8C5D6"/>
            </w:tcBorders>
            <w:shd w:val="clear" w:color="auto" w:fill="FFFFFF"/>
            <w:tcMar>
              <w:top w:w="80" w:type="dxa"/>
              <w:left w:w="120" w:type="dxa"/>
              <w:bottom w:w="80" w:type="dxa"/>
              <w:right w:w="100" w:type="dxa"/>
            </w:tcMar>
          </w:tcPr>
          <w:p w:rsidR="00D22AE7" w:rsidRDefault="005A1FFD">
            <w:r>
              <w:rPr>
                <w:sz w:val="20"/>
                <w:szCs w:val="20"/>
              </w:rPr>
              <w:t xml:space="preserve">Assess ERP system integration capabilities, EDI transaction support, and online catalog/ordering portals. Evaluate vendor's ability to provide electronic documentation (COAs, COCs, test reports). For high-volume or strategic suppliers, assess supply chain </w:t>
            </w:r>
            <w:r>
              <w:rPr>
                <w:sz w:val="20"/>
                <w:szCs w:val="20"/>
              </w:rPr>
              <w:t>visibility and exception management tools.</w:t>
            </w:r>
          </w:p>
        </w:tc>
      </w:tr>
    </w:tbl>
    <w:p w:rsidR="00D22AE7" w:rsidRDefault="00D22AE7">
      <w:pPr>
        <w:spacing w:before="160" w:after="0"/>
      </w:pP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D22AE7">
        <w:tblPrEx>
          <w:tblCellMar>
            <w:top w:w="0" w:type="dxa"/>
            <w:bottom w:w="0" w:type="dxa"/>
          </w:tblCellMar>
        </w:tblPrEx>
        <w:tc>
          <w:tcPr>
            <w:tcW w:w="9360" w:type="dxa"/>
            <w:tcBorders>
              <w:top w:val="single" w:sz="8" w:space="0" w:color="1B3A6B"/>
              <w:left w:val="single" w:sz="8" w:space="0" w:color="1B3A6B"/>
              <w:bottom w:val="single" w:sz="8" w:space="0" w:color="1B3A6B"/>
              <w:right w:val="single" w:sz="8" w:space="0" w:color="1B3A6B"/>
            </w:tcBorders>
            <w:shd w:val="clear" w:color="auto" w:fill="EBF2FB"/>
            <w:tcMar>
              <w:top w:w="160" w:type="dxa"/>
              <w:left w:w="240" w:type="dxa"/>
              <w:bottom w:w="160" w:type="dxa"/>
              <w:right w:w="240" w:type="dxa"/>
            </w:tcMar>
          </w:tcPr>
          <w:p w:rsidR="00D22AE7" w:rsidRDefault="005A1FFD">
            <w:r>
              <w:rPr>
                <w:b/>
                <w:bCs/>
                <w:color w:val="1B3A6B"/>
              </w:rPr>
              <w:t>DOCUMENT USAGE NOTES</w:t>
            </w:r>
          </w:p>
          <w:p w:rsidR="00D22AE7" w:rsidRDefault="005A1FFD">
            <w:pPr>
              <w:spacing w:before="80"/>
            </w:pPr>
            <w:r>
              <w:rPr>
                <w:color w:val="374151"/>
                <w:sz w:val="20"/>
                <w:szCs w:val="20"/>
              </w:rPr>
              <w:t>1. This matrix should be completed in conjunction with the WWRGD General Vendor RFI (WWRGD_General_Vendor_RFI.xlsx). RFI responses provide the primary source material for scoring.</w:t>
            </w:r>
          </w:p>
          <w:p w:rsidR="00D22AE7" w:rsidRDefault="005A1FFD">
            <w:r>
              <w:rPr>
                <w:color w:val="374151"/>
                <w:sz w:val="20"/>
                <w:szCs w:val="20"/>
              </w:rPr>
              <w:t>2. All scores must be supported by documented evidence. Evaluators should re</w:t>
            </w:r>
            <w:r>
              <w:rPr>
                <w:color w:val="374151"/>
                <w:sz w:val="20"/>
                <w:szCs w:val="20"/>
              </w:rPr>
              <w:t>cord the specific evidence basis for each score in their evaluation notes.</w:t>
            </w:r>
          </w:p>
          <w:p w:rsidR="00D22AE7" w:rsidRDefault="005A1FFD">
            <w:r>
              <w:rPr>
                <w:color w:val="374151"/>
                <w:sz w:val="20"/>
                <w:szCs w:val="20"/>
              </w:rPr>
              <w:t>3. This matrix is a decision-support tool, not a sole determinant. Procurement leadership retains authority to override scores based on strategic considerations, subject to document</w:t>
            </w:r>
            <w:r>
              <w:rPr>
                <w:color w:val="374151"/>
                <w:sz w:val="20"/>
                <w:szCs w:val="20"/>
              </w:rPr>
              <w:t>ation requirements.</w:t>
            </w:r>
          </w:p>
          <w:p w:rsidR="00D22AE7" w:rsidRDefault="005A1FFD">
            <w:r>
              <w:rPr>
                <w:color w:val="374151"/>
                <w:sz w:val="20"/>
                <w:szCs w:val="20"/>
              </w:rPr>
              <w:t>4. Re-scoring cadence: Low Risk — annually; Medium Risk — bi-annually; High Risk — monthly during engagement; any change in Critical Risk Indicator status — immediately.</w:t>
            </w:r>
          </w:p>
          <w:p w:rsidR="00D22AE7" w:rsidRDefault="005A1FFD">
            <w:r>
              <w:rPr>
                <w:color w:val="374151"/>
                <w:sz w:val="20"/>
                <w:szCs w:val="20"/>
              </w:rPr>
              <w:t>5. Questions on matrix application should be directed to WWRGD Pro</w:t>
            </w:r>
            <w:r>
              <w:rPr>
                <w:color w:val="374151"/>
                <w:sz w:val="20"/>
                <w:szCs w:val="20"/>
              </w:rPr>
              <w:t>curement and Vendor Management.</w:t>
            </w:r>
          </w:p>
        </w:tc>
      </w:tr>
    </w:tbl>
    <w:p w:rsidR="00D22AE7" w:rsidRDefault="00D22AE7">
      <w:pPr>
        <w:spacing w:before="120" w:after="0"/>
      </w:pPr>
    </w:p>
    <w:p w:rsidR="00D22AE7" w:rsidRDefault="005A1FFD">
      <w:pPr>
        <w:spacing w:before="80" w:after="40"/>
        <w:jc w:val="center"/>
      </w:pPr>
      <w:r>
        <w:rPr>
          <w:color w:val="9CA3AF"/>
          <w:sz w:val="18"/>
          <w:szCs w:val="18"/>
        </w:rPr>
        <w:t>WWRGD General Vendor Risk Scoring Matrix  |  Document ID: WWRGD-RSM-GV-001  |  Version 1.0</w:t>
      </w:r>
    </w:p>
    <w:p w:rsidR="00D22AE7" w:rsidRDefault="005A1FFD">
      <w:pPr>
        <w:spacing w:after="40"/>
        <w:jc w:val="center"/>
      </w:pPr>
      <w:r>
        <w:rPr>
          <w:color w:val="9CA3AF"/>
          <w:sz w:val="18"/>
          <w:szCs w:val="18"/>
        </w:rPr>
        <w:t>Companion to: WWRGD General Vendor RFI (WWRGD_General_Vendor_RFI.xlsx)  |  Adapted from: WWRGD General Contractor Risk Scoring Matrix</w:t>
      </w:r>
    </w:p>
    <w:sectPr w:rsidR="00D22AE7">
      <w:headerReference w:type="default" r:id="rId7"/>
      <w:footerReference w:type="default" r:id="rId8"/>
      <w:pgSz w:w="11906" w:h="16838"/>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A1FFD" w:rsidRDefault="005A1FFD">
      <w:pPr>
        <w:spacing w:after="0"/>
      </w:pPr>
      <w:r>
        <w:separator/>
      </w:r>
    </w:p>
  </w:endnote>
  <w:endnote w:type="continuationSeparator" w:id="0">
    <w:p w:rsidR="005A1FFD" w:rsidRDefault="005A1FF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22AE7" w:rsidRDefault="005A1FFD">
    <w:pPr>
      <w:jc w:val="center"/>
    </w:pPr>
    <w:r>
      <w:rPr>
        <w:color w:val="9CA3AF"/>
        <w:sz w:val="18"/>
        <w:szCs w:val="18"/>
      </w:rPr>
      <w:t xml:space="preserve">Page </w:t>
    </w:r>
    <w:r>
      <w:rPr>
        <w:color w:val="9CA3AF"/>
        <w:sz w:val="18"/>
        <w:szCs w:val="18"/>
      </w:rPr>
      <w:fldChar w:fldCharType="begin"/>
    </w:r>
    <w:r>
      <w:rPr>
        <w:color w:val="9CA3AF"/>
        <w:sz w:val="18"/>
        <w:szCs w:val="18"/>
      </w:rPr>
      <w:instrText>PAGE</w:instrText>
    </w:r>
    <w:r>
      <w:rPr>
        <w:color w:val="9CA3AF"/>
        <w:sz w:val="18"/>
        <w:szCs w:val="18"/>
      </w:rPr>
      <w:fldChar w:fldCharType="separate"/>
    </w:r>
    <w:r w:rsidR="000C38A7">
      <w:rPr>
        <w:noProof/>
        <w:color w:val="9CA3AF"/>
        <w:sz w:val="18"/>
        <w:szCs w:val="18"/>
      </w:rPr>
      <w:t>1</w:t>
    </w:r>
    <w:r>
      <w:rPr>
        <w:color w:val="9CA3AF"/>
        <w:sz w:val="18"/>
        <w:szCs w:val="18"/>
      </w:rPr>
      <w:fldChar w:fldCharType="end"/>
    </w:r>
    <w:r>
      <w:rPr>
        <w:color w:val="9CA3AF"/>
        <w:sz w:val="18"/>
        <w:szCs w:val="18"/>
      </w:rPr>
      <w:t xml:space="preserve"> of </w:t>
    </w:r>
    <w:r>
      <w:rPr>
        <w:color w:val="9CA3AF"/>
        <w:sz w:val="18"/>
        <w:szCs w:val="18"/>
      </w:rPr>
      <w:fldChar w:fldCharType="begin"/>
    </w:r>
    <w:r>
      <w:rPr>
        <w:color w:val="9CA3AF"/>
        <w:sz w:val="18"/>
        <w:szCs w:val="18"/>
      </w:rPr>
      <w:instrText>NUMPAGES</w:instrText>
    </w:r>
    <w:r>
      <w:rPr>
        <w:color w:val="9CA3AF"/>
        <w:sz w:val="18"/>
        <w:szCs w:val="18"/>
      </w:rPr>
      <w:fldChar w:fldCharType="separate"/>
    </w:r>
    <w:r w:rsidR="000C38A7">
      <w:rPr>
        <w:noProof/>
        <w:color w:val="9CA3AF"/>
        <w:sz w:val="18"/>
        <w:szCs w:val="18"/>
      </w:rPr>
      <w:t>2</w:t>
    </w:r>
    <w:r>
      <w:rPr>
        <w:color w:val="9CA3AF"/>
        <w:sz w:val="18"/>
        <w:szCs w:val="18"/>
      </w:rPr>
      <w:fldChar w:fldCharType="end"/>
    </w:r>
    <w:r>
      <w:rPr>
        <w:color w:val="9CA3AF"/>
        <w:sz w:val="18"/>
        <w:szCs w:val="18"/>
      </w:rPr>
      <w:t xml:space="preserve">  |  WWRGD Confidential  |  General Vendor Risk Scoring Matrix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A1FFD" w:rsidRDefault="005A1FFD">
      <w:pPr>
        <w:spacing w:after="0"/>
      </w:pPr>
      <w:r>
        <w:separator/>
      </w:r>
    </w:p>
  </w:footnote>
  <w:footnote w:type="continuationSeparator" w:id="0">
    <w:p w:rsidR="005A1FFD" w:rsidRDefault="005A1FF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240"/>
      <w:gridCol w:w="3120"/>
    </w:tblGrid>
    <w:tr w:rsidR="00D22AE7">
      <w:tblPrEx>
        <w:tblCellMar>
          <w:top w:w="0" w:type="dxa"/>
          <w:bottom w:w="0" w:type="dxa"/>
        </w:tblCellMar>
      </w:tblPrEx>
      <w:tc>
        <w:tcPr>
          <w:tcW w:w="6240" w:type="dxa"/>
          <w:tcBorders>
            <w:top w:val="none" w:sz="0" w:space="0" w:color="FFFFFF"/>
            <w:left w:val="none" w:sz="0" w:space="0" w:color="FFFFFF"/>
            <w:bottom w:val="single" w:sz="6" w:space="0" w:color="B8C5D6"/>
            <w:right w:val="none" w:sz="0" w:space="0" w:color="FFFFFF"/>
          </w:tcBorders>
        </w:tcPr>
        <w:p w:rsidR="00D22AE7" w:rsidRDefault="005A1FFD">
          <w:r>
            <w:rPr>
              <w:b/>
              <w:bCs/>
              <w:color w:val="1B3A6B"/>
              <w:sz w:val="18"/>
              <w:szCs w:val="18"/>
            </w:rPr>
            <w:t>WWRGD  |  General Vendor Risk Scoring Matrix</w:t>
          </w:r>
        </w:p>
      </w:tc>
      <w:tc>
        <w:tcPr>
          <w:tcW w:w="3120" w:type="dxa"/>
          <w:tcBorders>
            <w:top w:val="none" w:sz="0" w:space="0" w:color="FFFFFF"/>
            <w:left w:val="none" w:sz="0" w:space="0" w:color="FFFFFF"/>
            <w:bottom w:val="single" w:sz="6" w:space="0" w:color="B8C5D6"/>
            <w:right w:val="none" w:sz="0" w:space="0" w:color="FFFFFF"/>
          </w:tcBorders>
        </w:tcPr>
        <w:p w:rsidR="00D22AE7" w:rsidRDefault="005A1FFD">
          <w:pPr>
            <w:jc w:val="right"/>
          </w:pPr>
          <w:r>
            <w:rPr>
              <w:color w:val="6B7280"/>
              <w:sz w:val="18"/>
              <w:szCs w:val="18"/>
            </w:rPr>
            <w:t>WWRGD-RSM-GV-001  v1.0</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27706"/>
    <w:multiLevelType w:val="hybridMultilevel"/>
    <w:tmpl w:val="CDB67EFA"/>
    <w:lvl w:ilvl="0" w:tplc="C5AA7C64">
      <w:start w:val="1"/>
      <w:numFmt w:val="decimal"/>
      <w:lvlText w:val="%1."/>
      <w:lvlJc w:val="left"/>
      <w:pPr>
        <w:ind w:left="720" w:hanging="360"/>
      </w:pPr>
    </w:lvl>
    <w:lvl w:ilvl="1" w:tplc="A87657DA">
      <w:numFmt w:val="decimal"/>
      <w:lvlText w:val=""/>
      <w:lvlJc w:val="left"/>
    </w:lvl>
    <w:lvl w:ilvl="2" w:tplc="BF6C02B6">
      <w:numFmt w:val="decimal"/>
      <w:lvlText w:val=""/>
      <w:lvlJc w:val="left"/>
    </w:lvl>
    <w:lvl w:ilvl="3" w:tplc="437C42F0">
      <w:numFmt w:val="decimal"/>
      <w:lvlText w:val=""/>
      <w:lvlJc w:val="left"/>
    </w:lvl>
    <w:lvl w:ilvl="4" w:tplc="4E6C1D28">
      <w:numFmt w:val="decimal"/>
      <w:lvlText w:val=""/>
      <w:lvlJc w:val="left"/>
    </w:lvl>
    <w:lvl w:ilvl="5" w:tplc="D7A8D68C">
      <w:numFmt w:val="decimal"/>
      <w:lvlText w:val=""/>
      <w:lvlJc w:val="left"/>
    </w:lvl>
    <w:lvl w:ilvl="6" w:tplc="3D4A8EE4">
      <w:numFmt w:val="decimal"/>
      <w:lvlText w:val=""/>
      <w:lvlJc w:val="left"/>
    </w:lvl>
    <w:lvl w:ilvl="7" w:tplc="67FCCBF0">
      <w:numFmt w:val="decimal"/>
      <w:lvlText w:val=""/>
      <w:lvlJc w:val="left"/>
    </w:lvl>
    <w:lvl w:ilvl="8" w:tplc="754E9908">
      <w:numFmt w:val="decimal"/>
      <w:lvlText w:val=""/>
      <w:lvlJc w:val="left"/>
    </w:lvl>
  </w:abstractNum>
  <w:abstractNum w:abstractNumId="1" w15:restartNumberingAfterBreak="0">
    <w:nsid w:val="17FF58A0"/>
    <w:multiLevelType w:val="hybridMultilevel"/>
    <w:tmpl w:val="9B5C8EFE"/>
    <w:lvl w:ilvl="0" w:tplc="2D127BE2">
      <w:start w:val="1"/>
      <w:numFmt w:val="bullet"/>
      <w:lvlText w:val="●"/>
      <w:lvlJc w:val="left"/>
      <w:pPr>
        <w:ind w:left="720" w:hanging="360"/>
      </w:pPr>
    </w:lvl>
    <w:lvl w:ilvl="1" w:tplc="E954C4DA">
      <w:start w:val="1"/>
      <w:numFmt w:val="bullet"/>
      <w:lvlText w:val="○"/>
      <w:lvlJc w:val="left"/>
      <w:pPr>
        <w:ind w:left="1440" w:hanging="360"/>
      </w:pPr>
    </w:lvl>
    <w:lvl w:ilvl="2" w:tplc="9296272A">
      <w:start w:val="1"/>
      <w:numFmt w:val="bullet"/>
      <w:lvlText w:val="■"/>
      <w:lvlJc w:val="left"/>
      <w:pPr>
        <w:ind w:left="2160" w:hanging="360"/>
      </w:pPr>
    </w:lvl>
    <w:lvl w:ilvl="3" w:tplc="F0241C34">
      <w:start w:val="1"/>
      <w:numFmt w:val="bullet"/>
      <w:lvlText w:val="●"/>
      <w:lvlJc w:val="left"/>
      <w:pPr>
        <w:ind w:left="2880" w:hanging="360"/>
      </w:pPr>
    </w:lvl>
    <w:lvl w:ilvl="4" w:tplc="44607FF2">
      <w:start w:val="1"/>
      <w:numFmt w:val="bullet"/>
      <w:lvlText w:val="○"/>
      <w:lvlJc w:val="left"/>
      <w:pPr>
        <w:ind w:left="3600" w:hanging="360"/>
      </w:pPr>
    </w:lvl>
    <w:lvl w:ilvl="5" w:tplc="C826D2F4">
      <w:start w:val="1"/>
      <w:numFmt w:val="bullet"/>
      <w:lvlText w:val="■"/>
      <w:lvlJc w:val="left"/>
      <w:pPr>
        <w:ind w:left="4320" w:hanging="360"/>
      </w:pPr>
    </w:lvl>
    <w:lvl w:ilvl="6" w:tplc="8E20CB8A">
      <w:start w:val="1"/>
      <w:numFmt w:val="bullet"/>
      <w:lvlText w:val="●"/>
      <w:lvlJc w:val="left"/>
      <w:pPr>
        <w:ind w:left="5040" w:hanging="360"/>
      </w:pPr>
    </w:lvl>
    <w:lvl w:ilvl="7" w:tplc="125A5E56">
      <w:start w:val="1"/>
      <w:numFmt w:val="bullet"/>
      <w:lvlText w:val="●"/>
      <w:lvlJc w:val="left"/>
      <w:pPr>
        <w:ind w:left="5760" w:hanging="360"/>
      </w:pPr>
    </w:lvl>
    <w:lvl w:ilvl="8" w:tplc="A14C9068">
      <w:start w:val="1"/>
      <w:numFmt w:val="bullet"/>
      <w:lvlText w:val="●"/>
      <w:lvlJc w:val="left"/>
      <w:pPr>
        <w:ind w:left="6480" w:hanging="360"/>
      </w:pPr>
    </w:lvl>
  </w:abstractNum>
  <w:abstractNum w:abstractNumId="2" w15:restartNumberingAfterBreak="0">
    <w:nsid w:val="41911C63"/>
    <w:multiLevelType w:val="hybridMultilevel"/>
    <w:tmpl w:val="725E0178"/>
    <w:lvl w:ilvl="0" w:tplc="A34AEEBC">
      <w:start w:val="1"/>
      <w:numFmt w:val="bullet"/>
      <w:lvlText w:val="•"/>
      <w:lvlJc w:val="left"/>
      <w:pPr>
        <w:ind w:left="720" w:hanging="360"/>
      </w:pPr>
    </w:lvl>
    <w:lvl w:ilvl="1" w:tplc="5DB66E28">
      <w:numFmt w:val="decimal"/>
      <w:lvlText w:val=""/>
      <w:lvlJc w:val="left"/>
    </w:lvl>
    <w:lvl w:ilvl="2" w:tplc="855E054C">
      <w:numFmt w:val="decimal"/>
      <w:lvlText w:val=""/>
      <w:lvlJc w:val="left"/>
    </w:lvl>
    <w:lvl w:ilvl="3" w:tplc="791A6F2C">
      <w:numFmt w:val="decimal"/>
      <w:lvlText w:val=""/>
      <w:lvlJc w:val="left"/>
    </w:lvl>
    <w:lvl w:ilvl="4" w:tplc="4D425C3E">
      <w:numFmt w:val="decimal"/>
      <w:lvlText w:val=""/>
      <w:lvlJc w:val="left"/>
    </w:lvl>
    <w:lvl w:ilvl="5" w:tplc="34B2E704">
      <w:numFmt w:val="decimal"/>
      <w:lvlText w:val=""/>
      <w:lvlJc w:val="left"/>
    </w:lvl>
    <w:lvl w:ilvl="6" w:tplc="0D724E82">
      <w:numFmt w:val="decimal"/>
      <w:lvlText w:val=""/>
      <w:lvlJc w:val="left"/>
    </w:lvl>
    <w:lvl w:ilvl="7" w:tplc="251E62B0">
      <w:numFmt w:val="decimal"/>
      <w:lvlText w:val=""/>
      <w:lvlJc w:val="left"/>
    </w:lvl>
    <w:lvl w:ilvl="8" w:tplc="4EEAE120">
      <w:numFmt w:val="decimal"/>
      <w:lvlText w:val=""/>
      <w:lvlJc w:val="left"/>
    </w:lvl>
  </w:abstractNum>
  <w:num w:numId="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AE7"/>
    <w:rsid w:val="000C38A7"/>
    <w:rsid w:val="005A1FFD"/>
    <w:rsid w:val="00D22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76F4A6-D59E-46CB-9118-256C22FB2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pPr>
      <w:spacing w:after="0"/>
    </w:pPr>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unhideWhenUsed/>
    <w:rPr>
      <w:sz w:val="20"/>
      <w:szCs w:val="20"/>
    </w:rPr>
  </w:style>
  <w:style w:type="paragraph" w:customStyle="1" w:styleId="DocTitle">
    <w:name w:val="Doc Title"/>
    <w:qFormat/>
    <w:pPr>
      <w:spacing w:after="80"/>
      <w:jc w:val="center"/>
    </w:pPr>
    <w:rPr>
      <w:b/>
      <w:bCs/>
      <w:color w:val="1B3A6B"/>
      <w:sz w:val="44"/>
      <w:szCs w:val="44"/>
    </w:rPr>
  </w:style>
  <w:style w:type="paragraph" w:customStyle="1" w:styleId="DocSubtitle">
    <w:name w:val="Doc Subtitle"/>
    <w:qFormat/>
    <w:pPr>
      <w:spacing w:after="80"/>
      <w:jc w:val="center"/>
    </w:pPr>
    <w:rPr>
      <w:color w:val="4A6FA5"/>
      <w:sz w:val="26"/>
      <w:szCs w:val="26"/>
    </w:rPr>
  </w:style>
  <w:style w:type="paragraph" w:customStyle="1" w:styleId="DocMeta">
    <w:name w:val="Doc Meta"/>
    <w:qFormat/>
    <w:pPr>
      <w:spacing w:after="60"/>
      <w:jc w:val="center"/>
    </w:pPr>
    <w:rPr>
      <w:color w:val="6B7280"/>
      <w:sz w:val="20"/>
      <w:szCs w:val="20"/>
    </w:rPr>
  </w:style>
  <w:style w:type="paragraph" w:customStyle="1" w:styleId="SectionHeader">
    <w:name w:val="Section Header"/>
    <w:qFormat/>
    <w:pPr>
      <w:spacing w:before="300" w:after="160"/>
    </w:pPr>
    <w:rPr>
      <w:b/>
      <w:bCs/>
      <w:color w:val="FFFFFF"/>
      <w:sz w:val="28"/>
      <w:szCs w:val="28"/>
    </w:rPr>
  </w:style>
  <w:style w:type="paragraph" w:customStyle="1" w:styleId="SubHeader">
    <w:name w:val="Sub Header"/>
    <w:qFormat/>
    <w:pPr>
      <w:spacing w:before="200" w:after="100"/>
    </w:pPr>
    <w:rPr>
      <w:b/>
      <w:bCs/>
      <w:color w:val="1B3A6B"/>
      <w:sz w:val="24"/>
      <w:szCs w:val="24"/>
    </w:rPr>
  </w:style>
  <w:style w:type="paragraph" w:styleId="BodyText">
    <w:name w:val="Body Text"/>
    <w:qFormat/>
    <w:pPr>
      <w:spacing w:after="100" w:line="264" w:lineRule="auto"/>
    </w:pPr>
  </w:style>
  <w:style w:type="paragraph" w:customStyle="1" w:styleId="NoteText">
    <w:name w:val="Note Text"/>
    <w:qFormat/>
    <w:pPr>
      <w:spacing w:after="80"/>
    </w:pPr>
    <w:rPr>
      <w:i/>
      <w:iCs/>
      <w:color w:val="4B5563"/>
      <w:sz w:val="20"/>
      <w:szCs w:val="20"/>
    </w:rPr>
  </w:style>
  <w:style w:type="paragraph" w:customStyle="1" w:styleId="SmallText">
    <w:name w:val="Small Text"/>
    <w:qFormat/>
    <w:pPr>
      <w:spacing w:after="60"/>
    </w:pPr>
    <w:rPr>
      <w:color w:val="37415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4154</Words>
  <Characters>23679</Characters>
  <Application>Microsoft Office Word</Application>
  <DocSecurity>0</DocSecurity>
  <Lines>197</Lines>
  <Paragraphs>55</Paragraphs>
  <ScaleCrop>false</ScaleCrop>
  <Company/>
  <LinksUpToDate>false</LinksUpToDate>
  <CharactersWithSpaces>27778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Burciaga, Carlos</cp:lastModifiedBy>
  <cp:revision>2</cp:revision>
  <dcterms:created xsi:type="dcterms:W3CDTF">2026-04-06T21:52:00Z</dcterms:created>
  <dcterms:modified xsi:type="dcterms:W3CDTF">2026-04-06T21:52:00Z</dcterms:modified>
</cp:coreProperties>
</file>