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81FB6" w14:paraId="36221A81"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4E79"/>
          </w:tcPr>
          <w:p w14:paraId="628A0168" w14:textId="77777777" w:rsidR="00F81FB6" w:rsidRDefault="00571C04">
            <w:pPr>
              <w:spacing w:before="200" w:after="80"/>
              <w:ind w:left="240"/>
            </w:pPr>
            <w:r>
              <w:rPr>
                <w:b/>
                <w:bCs/>
                <w:color w:val="FFFFFF"/>
                <w:sz w:val="48"/>
                <w:szCs w:val="48"/>
              </w:rPr>
              <w:t>WWRGD</w:t>
            </w:r>
          </w:p>
          <w:p w14:paraId="6364ED10" w14:textId="77777777" w:rsidR="00F81FB6" w:rsidRDefault="00571C04">
            <w:pPr>
              <w:spacing w:after="60"/>
              <w:ind w:left="240"/>
            </w:pPr>
            <w:r>
              <w:rPr>
                <w:color w:val="BDD7EE"/>
                <w:sz w:val="20"/>
                <w:szCs w:val="20"/>
              </w:rPr>
              <w:t>Worldwide Real Estate &amp; Global Delivery</w:t>
            </w:r>
          </w:p>
          <w:p w14:paraId="31E76970" w14:textId="77777777" w:rsidR="00F81FB6" w:rsidRDefault="00571C04">
            <w:pPr>
              <w:spacing w:before="180" w:after="60"/>
              <w:ind w:left="240"/>
            </w:pPr>
            <w:r>
              <w:rPr>
                <w:b/>
                <w:bCs/>
                <w:caps/>
                <w:color w:val="FFFFFF"/>
                <w:sz w:val="40"/>
                <w:szCs w:val="40"/>
              </w:rPr>
              <w:t>LOGISTICS VENDOR RISK SCORING MATRIX</w:t>
            </w:r>
          </w:p>
          <w:p w14:paraId="15C4B360" w14:textId="77777777" w:rsidR="00F81FB6" w:rsidRDefault="00571C04">
            <w:pPr>
              <w:spacing w:after="200"/>
              <w:ind w:left="240"/>
            </w:pPr>
            <w:r>
              <w:rPr>
                <w:i/>
                <w:iCs/>
                <w:color w:val="BDD7EE"/>
              </w:rPr>
              <w:t>Logistics, Freight, Transportation &amp; Warehousing Vendor Evaluation Framework</w:t>
            </w:r>
          </w:p>
        </w:tc>
      </w:tr>
    </w:tbl>
    <w:p w14:paraId="555F9C48" w14:textId="77777777" w:rsidR="00F81FB6" w:rsidRDefault="00F81FB6">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F81FB6" w14:paraId="585D8327" w14:textId="77777777">
        <w:tblPrEx>
          <w:tblCellMar>
            <w:top w:w="0" w:type="dxa"/>
            <w:bottom w:w="0" w:type="dxa"/>
          </w:tblCellMar>
        </w:tblPrEx>
        <w:tc>
          <w:tcPr>
            <w:tcW w:w="2200" w:type="dxa"/>
            <w:tcBorders>
              <w:top w:val="single" w:sz="4" w:space="0" w:color="CCCCCC"/>
              <w:left w:val="single" w:sz="4" w:space="0" w:color="CCCCCC"/>
              <w:bottom w:val="single" w:sz="4" w:space="0" w:color="CCCCCC"/>
              <w:right w:val="single" w:sz="4" w:space="0" w:color="CCCCCC"/>
            </w:tcBorders>
            <w:shd w:val="clear" w:color="auto" w:fill="DEEAF1"/>
          </w:tcPr>
          <w:p w14:paraId="4FFB52B1" w14:textId="77777777" w:rsidR="00F81FB6" w:rsidRDefault="00571C04">
            <w:pPr>
              <w:spacing w:before="60" w:after="60"/>
            </w:pPr>
            <w:r>
              <w:rPr>
                <w:b/>
                <w:bCs/>
                <w:color w:val="2F2F2F"/>
                <w:sz w:val="20"/>
                <w:szCs w:val="20"/>
              </w:rPr>
              <w:t>Document ID:</w:t>
            </w:r>
          </w:p>
        </w:tc>
        <w:tc>
          <w:tcPr>
            <w:tcW w:w="7160" w:type="dxa"/>
            <w:tcBorders>
              <w:top w:val="single" w:sz="4" w:space="0" w:color="CCCCCC"/>
              <w:left w:val="single" w:sz="4" w:space="0" w:color="CCCCCC"/>
              <w:bottom w:val="single" w:sz="4" w:space="0" w:color="CCCCCC"/>
              <w:right w:val="single" w:sz="4" w:space="0" w:color="CCCCCC"/>
            </w:tcBorders>
            <w:shd w:val="clear" w:color="auto" w:fill="EBF3FA"/>
          </w:tcPr>
          <w:p w14:paraId="77A036A6" w14:textId="77777777" w:rsidR="00F81FB6" w:rsidRDefault="00571C04">
            <w:pPr>
              <w:spacing w:before="60" w:after="60"/>
            </w:pPr>
            <w:r>
              <w:rPr>
                <w:color w:val="2F2F2F"/>
                <w:sz w:val="20"/>
                <w:szCs w:val="20"/>
              </w:rPr>
              <w:t>WWRGD-RSM-LV-001 v1.0</w:t>
            </w:r>
          </w:p>
        </w:tc>
      </w:tr>
      <w:tr w:rsidR="00F81FB6" w14:paraId="32BE1A9A" w14:textId="77777777">
        <w:tblPrEx>
          <w:tblCellMar>
            <w:top w:w="0" w:type="dxa"/>
            <w:bottom w:w="0" w:type="dxa"/>
          </w:tblCellMar>
        </w:tblPrEx>
        <w:tc>
          <w:tcPr>
            <w:tcW w:w="2200" w:type="dxa"/>
            <w:tcBorders>
              <w:top w:val="single" w:sz="4" w:space="0" w:color="CCCCCC"/>
              <w:left w:val="single" w:sz="4" w:space="0" w:color="CCCCCC"/>
              <w:bottom w:val="single" w:sz="4" w:space="0" w:color="CCCCCC"/>
              <w:right w:val="single" w:sz="4" w:space="0" w:color="CCCCCC"/>
            </w:tcBorders>
            <w:shd w:val="clear" w:color="auto" w:fill="DEEAF1"/>
          </w:tcPr>
          <w:p w14:paraId="167D4AF5" w14:textId="77777777" w:rsidR="00F81FB6" w:rsidRDefault="00571C04">
            <w:pPr>
              <w:spacing w:before="60" w:after="60"/>
            </w:pPr>
            <w:r>
              <w:rPr>
                <w:b/>
                <w:bCs/>
                <w:color w:val="2F2F2F"/>
                <w:sz w:val="20"/>
                <w:szCs w:val="20"/>
              </w:rPr>
              <w:t>Effective Date:</w:t>
            </w:r>
          </w:p>
        </w:tc>
        <w:tc>
          <w:tcPr>
            <w:tcW w:w="7160" w:type="dxa"/>
            <w:tcBorders>
              <w:top w:val="single" w:sz="4" w:space="0" w:color="CCCCCC"/>
              <w:left w:val="single" w:sz="4" w:space="0" w:color="CCCCCC"/>
              <w:bottom w:val="single" w:sz="4" w:space="0" w:color="CCCCCC"/>
              <w:right w:val="single" w:sz="4" w:space="0" w:color="CCCCCC"/>
            </w:tcBorders>
            <w:shd w:val="clear" w:color="auto" w:fill="FFFFFF"/>
          </w:tcPr>
          <w:p w14:paraId="5FB16009" w14:textId="77777777" w:rsidR="00F81FB6" w:rsidRDefault="00571C04">
            <w:pPr>
              <w:spacing w:before="60" w:after="60"/>
            </w:pPr>
            <w:r>
              <w:rPr>
                <w:color w:val="2F2F2F"/>
                <w:sz w:val="20"/>
                <w:szCs w:val="20"/>
              </w:rPr>
              <w:t>April 2026</w:t>
            </w:r>
          </w:p>
        </w:tc>
      </w:tr>
      <w:tr w:rsidR="00F81FB6" w14:paraId="2CB4CF6D" w14:textId="77777777">
        <w:tblPrEx>
          <w:tblCellMar>
            <w:top w:w="0" w:type="dxa"/>
            <w:bottom w:w="0" w:type="dxa"/>
          </w:tblCellMar>
        </w:tblPrEx>
        <w:tc>
          <w:tcPr>
            <w:tcW w:w="2200" w:type="dxa"/>
            <w:tcBorders>
              <w:top w:val="single" w:sz="4" w:space="0" w:color="CCCCCC"/>
              <w:left w:val="single" w:sz="4" w:space="0" w:color="CCCCCC"/>
              <w:bottom w:val="single" w:sz="4" w:space="0" w:color="CCCCCC"/>
              <w:right w:val="single" w:sz="4" w:space="0" w:color="CCCCCC"/>
            </w:tcBorders>
            <w:shd w:val="clear" w:color="auto" w:fill="DEEAF1"/>
          </w:tcPr>
          <w:p w14:paraId="420F5DE9" w14:textId="77777777" w:rsidR="00F81FB6" w:rsidRDefault="00571C04">
            <w:pPr>
              <w:spacing w:before="60" w:after="60"/>
            </w:pPr>
            <w:r>
              <w:rPr>
                <w:b/>
                <w:bCs/>
                <w:color w:val="2F2F2F"/>
                <w:sz w:val="20"/>
                <w:szCs w:val="20"/>
              </w:rPr>
              <w:t>Scope:</w:t>
            </w:r>
          </w:p>
        </w:tc>
        <w:tc>
          <w:tcPr>
            <w:tcW w:w="7160" w:type="dxa"/>
            <w:tcBorders>
              <w:top w:val="single" w:sz="4" w:space="0" w:color="CCCCCC"/>
              <w:left w:val="single" w:sz="4" w:space="0" w:color="CCCCCC"/>
              <w:bottom w:val="single" w:sz="4" w:space="0" w:color="CCCCCC"/>
              <w:right w:val="single" w:sz="4" w:space="0" w:color="CCCCCC"/>
            </w:tcBorders>
            <w:shd w:val="clear" w:color="auto" w:fill="EBF3FA"/>
          </w:tcPr>
          <w:p w14:paraId="629296EC" w14:textId="77777777" w:rsidR="00F81FB6" w:rsidRDefault="00571C04">
            <w:pPr>
              <w:spacing w:before="60" w:after="60"/>
            </w:pPr>
            <w:r>
              <w:rPr>
                <w:color w:val="2F2F2F"/>
                <w:sz w:val="20"/>
                <w:szCs w:val="20"/>
              </w:rPr>
              <w:t>Logistics, Freight, Transportation &amp; Warehousing Vendors</w:t>
            </w:r>
          </w:p>
        </w:tc>
      </w:tr>
      <w:tr w:rsidR="00F81FB6" w14:paraId="6190B56D" w14:textId="77777777">
        <w:tblPrEx>
          <w:tblCellMar>
            <w:top w:w="0" w:type="dxa"/>
            <w:bottom w:w="0" w:type="dxa"/>
          </w:tblCellMar>
        </w:tblPrEx>
        <w:tc>
          <w:tcPr>
            <w:tcW w:w="2200" w:type="dxa"/>
            <w:tcBorders>
              <w:top w:val="single" w:sz="4" w:space="0" w:color="CCCCCC"/>
              <w:left w:val="single" w:sz="4" w:space="0" w:color="CCCCCC"/>
              <w:bottom w:val="single" w:sz="4" w:space="0" w:color="CCCCCC"/>
              <w:right w:val="single" w:sz="4" w:space="0" w:color="CCCCCC"/>
            </w:tcBorders>
            <w:shd w:val="clear" w:color="auto" w:fill="DEEAF1"/>
          </w:tcPr>
          <w:p w14:paraId="2F864D75" w14:textId="77777777" w:rsidR="00F81FB6" w:rsidRDefault="00571C04">
            <w:pPr>
              <w:spacing w:before="60" w:after="60"/>
            </w:pPr>
            <w:r>
              <w:rPr>
                <w:b/>
                <w:bCs/>
                <w:color w:val="2F2F2F"/>
                <w:sz w:val="20"/>
                <w:szCs w:val="20"/>
              </w:rPr>
              <w:t>Companion Document:</w:t>
            </w:r>
          </w:p>
        </w:tc>
        <w:tc>
          <w:tcPr>
            <w:tcW w:w="7160" w:type="dxa"/>
            <w:tcBorders>
              <w:top w:val="single" w:sz="4" w:space="0" w:color="CCCCCC"/>
              <w:left w:val="single" w:sz="4" w:space="0" w:color="CCCCCC"/>
              <w:bottom w:val="single" w:sz="4" w:space="0" w:color="CCCCCC"/>
              <w:right w:val="single" w:sz="4" w:space="0" w:color="CCCCCC"/>
            </w:tcBorders>
            <w:shd w:val="clear" w:color="auto" w:fill="FFFFFF"/>
          </w:tcPr>
          <w:p w14:paraId="4E565892" w14:textId="77777777" w:rsidR="00F81FB6" w:rsidRDefault="00571C04">
            <w:pPr>
              <w:spacing w:before="60" w:after="60"/>
            </w:pPr>
            <w:r>
              <w:rPr>
                <w:color w:val="2F2F2F"/>
                <w:sz w:val="20"/>
                <w:szCs w:val="20"/>
              </w:rPr>
              <w:t>WWRGD_Logistics_Vendor_RFI.xlsx</w:t>
            </w:r>
          </w:p>
        </w:tc>
      </w:tr>
      <w:tr w:rsidR="00F81FB6" w14:paraId="355628E4" w14:textId="77777777">
        <w:tblPrEx>
          <w:tblCellMar>
            <w:top w:w="0" w:type="dxa"/>
            <w:bottom w:w="0" w:type="dxa"/>
          </w:tblCellMar>
        </w:tblPrEx>
        <w:tc>
          <w:tcPr>
            <w:tcW w:w="2200" w:type="dxa"/>
            <w:tcBorders>
              <w:top w:val="single" w:sz="4" w:space="0" w:color="CCCCCC"/>
              <w:left w:val="single" w:sz="4" w:space="0" w:color="CCCCCC"/>
              <w:bottom w:val="single" w:sz="4" w:space="0" w:color="CCCCCC"/>
              <w:right w:val="single" w:sz="4" w:space="0" w:color="CCCCCC"/>
            </w:tcBorders>
            <w:shd w:val="clear" w:color="auto" w:fill="DEEAF1"/>
          </w:tcPr>
          <w:p w14:paraId="078CEF04" w14:textId="77777777" w:rsidR="00F81FB6" w:rsidRDefault="00571C04">
            <w:pPr>
              <w:spacing w:before="60" w:after="60"/>
            </w:pPr>
            <w:r>
              <w:rPr>
                <w:b/>
                <w:bCs/>
                <w:color w:val="2F2F2F"/>
                <w:sz w:val="20"/>
                <w:szCs w:val="20"/>
              </w:rPr>
              <w:t>Status:</w:t>
            </w:r>
          </w:p>
        </w:tc>
        <w:tc>
          <w:tcPr>
            <w:tcW w:w="7160" w:type="dxa"/>
            <w:tcBorders>
              <w:top w:val="single" w:sz="4" w:space="0" w:color="CCCCCC"/>
              <w:left w:val="single" w:sz="4" w:space="0" w:color="CCCCCC"/>
              <w:bottom w:val="single" w:sz="4" w:space="0" w:color="CCCCCC"/>
              <w:right w:val="single" w:sz="4" w:space="0" w:color="CCCCCC"/>
            </w:tcBorders>
            <w:shd w:val="clear" w:color="auto" w:fill="EBF3FA"/>
          </w:tcPr>
          <w:p w14:paraId="44BA2CD1" w14:textId="77777777" w:rsidR="00F81FB6" w:rsidRDefault="00571C04">
            <w:pPr>
              <w:spacing w:before="60" w:after="60"/>
            </w:pPr>
            <w:r>
              <w:rPr>
                <w:color w:val="2F2F2F"/>
                <w:sz w:val="20"/>
                <w:szCs w:val="20"/>
              </w:rPr>
              <w:t>Active — Approved for Use</w:t>
            </w:r>
          </w:p>
        </w:tc>
      </w:tr>
    </w:tbl>
    <w:p w14:paraId="456B79EF" w14:textId="77777777" w:rsidR="00F81FB6" w:rsidRDefault="00F81FB6">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81FB6" w14:paraId="57F1D578" w14:textId="77777777">
        <w:tblPrEx>
          <w:tblCellMar>
            <w:top w:w="0" w:type="dxa"/>
            <w:bottom w:w="0" w:type="dxa"/>
          </w:tblCellMar>
        </w:tblPrEx>
        <w:tc>
          <w:tcPr>
            <w:tcW w:w="9360" w:type="dxa"/>
            <w:tcBorders>
              <w:top w:val="single" w:sz="4" w:space="0" w:color="CCCCCC"/>
              <w:left w:val="single" w:sz="4" w:space="0" w:color="CCCCCC"/>
              <w:bottom w:val="single" w:sz="4" w:space="0" w:color="CCCCCC"/>
              <w:right w:val="single" w:sz="4" w:space="0" w:color="CCCCCC"/>
            </w:tcBorders>
            <w:shd w:val="clear" w:color="auto" w:fill="1F4E79"/>
          </w:tcPr>
          <w:p w14:paraId="4731AE20" w14:textId="77777777" w:rsidR="00F81FB6" w:rsidRDefault="00571C04">
            <w:pPr>
              <w:spacing w:before="80" w:after="80"/>
              <w:ind w:left="160"/>
            </w:pPr>
            <w:r>
              <w:rPr>
                <w:b/>
                <w:bCs/>
                <w:color w:val="FFFFFF"/>
                <w:sz w:val="21"/>
                <w:szCs w:val="21"/>
              </w:rPr>
              <w:t>APPLICABLE VENDOR CATEGORIES</w:t>
            </w:r>
          </w:p>
        </w:tc>
      </w:tr>
      <w:tr w:rsidR="00F81FB6" w14:paraId="70976CC6" w14:textId="77777777">
        <w:tblPrEx>
          <w:tblCellMar>
            <w:top w:w="0" w:type="dxa"/>
            <w:bottom w:w="0" w:type="dxa"/>
          </w:tblCellMar>
        </w:tblPrEx>
        <w:tc>
          <w:tcPr>
            <w:tcW w:w="9360" w:type="dxa"/>
            <w:tcBorders>
              <w:top w:val="single" w:sz="4" w:space="0" w:color="CCCCCC"/>
              <w:left w:val="single" w:sz="4" w:space="0" w:color="CCCCCC"/>
              <w:bottom w:val="single" w:sz="4" w:space="0" w:color="CCCCCC"/>
              <w:right w:val="single" w:sz="4" w:space="0" w:color="CCCCCC"/>
            </w:tcBorders>
            <w:shd w:val="clear" w:color="auto" w:fill="EBF3FA"/>
          </w:tcPr>
          <w:p w14:paraId="7397403F" w14:textId="77777777" w:rsidR="00F81FB6" w:rsidRDefault="00571C04">
            <w:pPr>
              <w:spacing w:before="80" w:after="40"/>
              <w:ind w:left="200"/>
            </w:pPr>
            <w:r>
              <w:rPr>
                <w:sz w:val="20"/>
                <w:szCs w:val="20"/>
              </w:rPr>
              <w:t>•  FTL/LTL Carriers     •  Last-Mile Delivery Providers     •  Freight Brokers / 3PLs</w:t>
            </w:r>
          </w:p>
          <w:p w14:paraId="0C88A10F" w14:textId="77777777" w:rsidR="00F81FB6" w:rsidRDefault="00571C04">
            <w:pPr>
              <w:spacing w:after="80"/>
              <w:ind w:left="200"/>
            </w:pPr>
            <w:r>
              <w:rPr>
                <w:sz w:val="20"/>
                <w:szCs w:val="20"/>
              </w:rPr>
              <w:t>•  Warehousing &amp; Distribution     •  Cold Chain / Temperature-Controlled Logistics     •  Intermodal / Multimodal Providers     •  Fleet Services</w:t>
            </w:r>
          </w:p>
        </w:tc>
      </w:tr>
    </w:tbl>
    <w:p w14:paraId="7C34EE33" w14:textId="77777777" w:rsidR="00F81FB6" w:rsidRDefault="00F81FB6">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81FB6" w14:paraId="0FBE9490" w14:textId="77777777">
        <w:tblPrEx>
          <w:tblCellMar>
            <w:top w:w="0" w:type="dxa"/>
            <w:bottom w:w="0" w:type="dxa"/>
          </w:tblCellMar>
        </w:tblPrEx>
        <w:tc>
          <w:tcPr>
            <w:tcW w:w="9360" w:type="dxa"/>
            <w:tcBorders>
              <w:top w:val="single" w:sz="8" w:space="0" w:color="1F4E79"/>
              <w:left w:val="single" w:sz="8" w:space="0" w:color="1F4E79"/>
              <w:bottom w:val="single" w:sz="8" w:space="0" w:color="1F4E79"/>
              <w:right w:val="single" w:sz="8" w:space="0" w:color="1F4E79"/>
            </w:tcBorders>
            <w:shd w:val="clear" w:color="auto" w:fill="F2F7FC"/>
          </w:tcPr>
          <w:p w14:paraId="15A3078D" w14:textId="77777777" w:rsidR="00F81FB6" w:rsidRDefault="00571C04">
            <w:pPr>
              <w:spacing w:before="100" w:after="60"/>
              <w:ind w:left="200"/>
            </w:pPr>
            <w:r>
              <w:rPr>
                <w:b/>
                <w:bCs/>
                <w:color w:val="1F4E79"/>
              </w:rPr>
              <w:t>PURPOSE</w:t>
            </w:r>
          </w:p>
          <w:p w14:paraId="2A656ACA" w14:textId="77777777" w:rsidR="00F81FB6" w:rsidRDefault="00571C04">
            <w:pPr>
              <w:ind w:left="200" w:right="200"/>
            </w:pPr>
            <w:r>
              <w:rPr>
                <w:color w:val="2F2F2F"/>
                <w:sz w:val="20"/>
                <w:szCs w:val="20"/>
              </w:rPr>
              <w:t>This document provides a comprehensive, logistics-specific risk evaluation framework for qualifying and scoring Logistics, Freight, Transportation, and Warehousing vendors at WWRGD. It uses a standardized 400-point weighted scoring methodology to assess Fi</w:t>
            </w:r>
            <w:r>
              <w:rPr>
                <w:color w:val="2F2F2F"/>
                <w:sz w:val="20"/>
                <w:szCs w:val="20"/>
              </w:rPr>
              <w:t>nancial Stability, Safety Performance, Quality/Performance History, Operational Capacity, Compliance Record, and Technology Capabilities — with scoring rubrics specifically calibrated for logistics industry metrics (FMCSA SMS BASICs, DOT compliance ratings</w:t>
            </w:r>
            <w:r>
              <w:rPr>
                <w:color w:val="2F2F2F"/>
                <w:sz w:val="20"/>
                <w:szCs w:val="20"/>
              </w:rPr>
              <w:t>, on-time delivery, freight damage/loss rates, inventory accuracy, TMS/WMS capabilities, and cold chain compliance). Use in conjunction with WWRGD_Logistics_Vendor_RFI.xlsx for complete vendor qualification.</w:t>
            </w:r>
          </w:p>
        </w:tc>
      </w:tr>
    </w:tbl>
    <w:p w14:paraId="1D560F3D" w14:textId="77777777" w:rsidR="00F81FB6" w:rsidRDefault="00F81FB6">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81FB6" w14:paraId="6945AFDF"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4E79"/>
          </w:tcPr>
          <w:p w14:paraId="0993501C" w14:textId="77777777" w:rsidR="00F81FB6" w:rsidRDefault="00571C04">
            <w:pPr>
              <w:pStyle w:val="SectionHeader"/>
              <w:spacing w:before="120" w:after="40"/>
              <w:ind w:left="160"/>
            </w:pPr>
            <w:r>
              <w:t>SECTION A</w:t>
            </w:r>
          </w:p>
          <w:p w14:paraId="7374F771" w14:textId="77777777" w:rsidR="00F81FB6" w:rsidRDefault="00571C04">
            <w:pPr>
              <w:spacing w:after="120"/>
              <w:ind w:left="160"/>
            </w:pPr>
            <w:r>
              <w:rPr>
                <w:i/>
                <w:iCs/>
                <w:color w:val="BDD7EE"/>
                <w:sz w:val="19"/>
                <w:szCs w:val="19"/>
              </w:rPr>
              <w:t>Critical Risk Indicators — Automatic</w:t>
            </w:r>
            <w:r>
              <w:rPr>
                <w:i/>
                <w:iCs/>
                <w:color w:val="BDD7EE"/>
                <w:sz w:val="19"/>
                <w:szCs w:val="19"/>
              </w:rPr>
              <w:t xml:space="preserve"> Disqualification</w:t>
            </w:r>
          </w:p>
        </w:tc>
      </w:tr>
    </w:tbl>
    <w:p w14:paraId="3178E7BD" w14:textId="77777777" w:rsidR="00F81FB6" w:rsidRDefault="00F81FB6">
      <w:pPr>
        <w:spacing w:after="120"/>
      </w:pPr>
    </w:p>
    <w:p w14:paraId="065EFC74" w14:textId="77777777" w:rsidR="00F81FB6" w:rsidRDefault="00571C04">
      <w:pPr>
        <w:pStyle w:val="BodyText"/>
      </w:pPr>
      <w:r>
        <w:t>Screen ALL vendors against the following 7 Critical Risk Indicators BEFORE proceeding to weighted scoring. Any single failure requires immediate VP/Executive escalation. Vendors that fail any indicator must not proceed to Section B scoring.</w:t>
      </w:r>
    </w:p>
    <w:p w14:paraId="0507A9DD" w14:textId="77777777" w:rsidR="00F81FB6" w:rsidRDefault="00F81FB6"/>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
        <w:gridCol w:w="2800"/>
        <w:gridCol w:w="3880"/>
        <w:gridCol w:w="1200"/>
        <w:gridCol w:w="1100"/>
      </w:tblGrid>
      <w:tr w:rsidR="00F81FB6" w14:paraId="7B727564" w14:textId="77777777">
        <w:tblPrEx>
          <w:tblCellMar>
            <w:top w:w="0" w:type="dxa"/>
            <w:bottom w:w="0" w:type="dxa"/>
          </w:tblCellMar>
        </w:tblPrEx>
        <w:trPr>
          <w:tblHeader/>
        </w:trPr>
        <w:tc>
          <w:tcPr>
            <w:tcW w:w="380" w:type="dxa"/>
            <w:tcBorders>
              <w:top w:val="single" w:sz="4" w:space="0" w:color="CCCCCC"/>
              <w:left w:val="single" w:sz="4" w:space="0" w:color="CCCCCC"/>
              <w:bottom w:val="single" w:sz="4" w:space="0" w:color="CCCCCC"/>
              <w:right w:val="single" w:sz="4" w:space="0" w:color="CCCCCC"/>
            </w:tcBorders>
            <w:shd w:val="clear" w:color="auto" w:fill="1F4E79"/>
            <w:vAlign w:val="center"/>
          </w:tcPr>
          <w:p w14:paraId="120C2DD9" w14:textId="77777777" w:rsidR="00F81FB6" w:rsidRDefault="00571C04">
            <w:pPr>
              <w:spacing w:before="60" w:after="60"/>
              <w:jc w:val="center"/>
            </w:pPr>
            <w:r>
              <w:rPr>
                <w:b/>
                <w:bCs/>
                <w:color w:val="FFFFFF"/>
                <w:sz w:val="20"/>
                <w:szCs w:val="20"/>
              </w:rPr>
              <w:t>#</w:t>
            </w:r>
          </w:p>
        </w:tc>
        <w:tc>
          <w:tcPr>
            <w:tcW w:w="2800" w:type="dxa"/>
            <w:tcBorders>
              <w:top w:val="single" w:sz="4" w:space="0" w:color="CCCCCC"/>
              <w:left w:val="single" w:sz="4" w:space="0" w:color="CCCCCC"/>
              <w:bottom w:val="single" w:sz="4" w:space="0" w:color="CCCCCC"/>
              <w:right w:val="single" w:sz="4" w:space="0" w:color="CCCCCC"/>
            </w:tcBorders>
            <w:shd w:val="clear" w:color="auto" w:fill="1F4E79"/>
            <w:vAlign w:val="center"/>
          </w:tcPr>
          <w:p w14:paraId="784797E6" w14:textId="77777777" w:rsidR="00F81FB6" w:rsidRDefault="00571C04">
            <w:pPr>
              <w:spacing w:before="60" w:after="60"/>
              <w:jc w:val="center"/>
            </w:pPr>
            <w:r>
              <w:rPr>
                <w:b/>
                <w:bCs/>
                <w:color w:val="FFFFFF"/>
                <w:sz w:val="20"/>
                <w:szCs w:val="20"/>
              </w:rPr>
              <w:t>Critical Ris</w:t>
            </w:r>
            <w:r>
              <w:rPr>
                <w:b/>
                <w:bCs/>
                <w:color w:val="FFFFFF"/>
                <w:sz w:val="20"/>
                <w:szCs w:val="20"/>
              </w:rPr>
              <w:t>k Indicator</w:t>
            </w:r>
          </w:p>
        </w:tc>
        <w:tc>
          <w:tcPr>
            <w:tcW w:w="3880" w:type="dxa"/>
            <w:tcBorders>
              <w:top w:val="single" w:sz="4" w:space="0" w:color="CCCCCC"/>
              <w:left w:val="single" w:sz="4" w:space="0" w:color="CCCCCC"/>
              <w:bottom w:val="single" w:sz="4" w:space="0" w:color="CCCCCC"/>
              <w:right w:val="single" w:sz="4" w:space="0" w:color="CCCCCC"/>
            </w:tcBorders>
            <w:shd w:val="clear" w:color="auto" w:fill="1F4E79"/>
            <w:vAlign w:val="center"/>
          </w:tcPr>
          <w:p w14:paraId="6D9B49FD" w14:textId="77777777" w:rsidR="00F81FB6" w:rsidRDefault="00571C04">
            <w:pPr>
              <w:spacing w:before="60" w:after="60"/>
              <w:jc w:val="center"/>
            </w:pPr>
            <w:r>
              <w:rPr>
                <w:b/>
                <w:bCs/>
                <w:color w:val="FFFFFF"/>
                <w:sz w:val="20"/>
                <w:szCs w:val="20"/>
              </w:rPr>
              <w:t>Disqualification Threshold</w:t>
            </w:r>
          </w:p>
        </w:tc>
        <w:tc>
          <w:tcPr>
            <w:tcW w:w="1200" w:type="dxa"/>
            <w:tcBorders>
              <w:top w:val="single" w:sz="4" w:space="0" w:color="CCCCCC"/>
              <w:left w:val="single" w:sz="4" w:space="0" w:color="CCCCCC"/>
              <w:bottom w:val="single" w:sz="4" w:space="0" w:color="CCCCCC"/>
              <w:right w:val="single" w:sz="4" w:space="0" w:color="CCCCCC"/>
            </w:tcBorders>
            <w:shd w:val="clear" w:color="auto" w:fill="1F4E79"/>
            <w:vAlign w:val="center"/>
          </w:tcPr>
          <w:p w14:paraId="79725D6D" w14:textId="77777777" w:rsidR="00F81FB6" w:rsidRDefault="00571C04">
            <w:pPr>
              <w:spacing w:before="60" w:after="60"/>
              <w:jc w:val="center"/>
            </w:pPr>
            <w:r>
              <w:rPr>
                <w:b/>
                <w:bCs/>
                <w:color w:val="FFFFFF"/>
                <w:sz w:val="20"/>
                <w:szCs w:val="20"/>
              </w:rPr>
              <w:t>Result</w:t>
            </w:r>
          </w:p>
        </w:tc>
        <w:tc>
          <w:tcPr>
            <w:tcW w:w="1100" w:type="dxa"/>
            <w:tcBorders>
              <w:top w:val="single" w:sz="4" w:space="0" w:color="CCCCCC"/>
              <w:left w:val="single" w:sz="4" w:space="0" w:color="CCCCCC"/>
              <w:bottom w:val="single" w:sz="4" w:space="0" w:color="CCCCCC"/>
              <w:right w:val="single" w:sz="4" w:space="0" w:color="CCCCCC"/>
            </w:tcBorders>
            <w:shd w:val="clear" w:color="auto" w:fill="1F4E79"/>
            <w:vAlign w:val="center"/>
          </w:tcPr>
          <w:p w14:paraId="33771BCE" w14:textId="77777777" w:rsidR="00F81FB6" w:rsidRDefault="00571C04">
            <w:pPr>
              <w:spacing w:before="60" w:after="60"/>
              <w:jc w:val="center"/>
            </w:pPr>
            <w:r>
              <w:rPr>
                <w:b/>
                <w:bCs/>
                <w:color w:val="FFFFFF"/>
                <w:sz w:val="20"/>
                <w:szCs w:val="20"/>
              </w:rPr>
              <w:t>Escalation</w:t>
            </w:r>
          </w:p>
        </w:tc>
      </w:tr>
      <w:tr w:rsidR="00F81FB6" w14:paraId="61E6B164" w14:textId="77777777">
        <w:tblPrEx>
          <w:tblCellMar>
            <w:top w:w="0" w:type="dxa"/>
            <w:bottom w:w="0" w:type="dxa"/>
          </w:tblCellMar>
        </w:tblPrEx>
        <w:tc>
          <w:tcPr>
            <w:tcW w:w="380" w:type="dxa"/>
            <w:tcBorders>
              <w:top w:val="single" w:sz="4" w:space="0" w:color="CCCCCC"/>
              <w:left w:val="single" w:sz="4" w:space="0" w:color="CCCCCC"/>
              <w:bottom w:val="single" w:sz="4" w:space="0" w:color="CCCCCC"/>
              <w:right w:val="single" w:sz="4" w:space="0" w:color="CCCCCC"/>
            </w:tcBorders>
            <w:shd w:val="clear" w:color="auto" w:fill="F2F7FC"/>
          </w:tcPr>
          <w:p w14:paraId="710E6913" w14:textId="77777777" w:rsidR="00F81FB6" w:rsidRDefault="00571C04">
            <w:pPr>
              <w:spacing w:before="60" w:after="60"/>
              <w:jc w:val="center"/>
            </w:pPr>
            <w:r>
              <w:rPr>
                <w:b/>
                <w:bCs/>
                <w:color w:val="2F2F2F"/>
                <w:sz w:val="20"/>
                <w:szCs w:val="20"/>
              </w:rPr>
              <w:t>1</w:t>
            </w:r>
          </w:p>
        </w:tc>
        <w:tc>
          <w:tcPr>
            <w:tcW w:w="2800" w:type="dxa"/>
            <w:tcBorders>
              <w:top w:val="single" w:sz="4" w:space="0" w:color="CCCCCC"/>
              <w:left w:val="single" w:sz="4" w:space="0" w:color="CCCCCC"/>
              <w:bottom w:val="single" w:sz="4" w:space="0" w:color="CCCCCC"/>
              <w:right w:val="single" w:sz="4" w:space="0" w:color="CCCCCC"/>
            </w:tcBorders>
            <w:shd w:val="clear" w:color="auto" w:fill="F2F7FC"/>
          </w:tcPr>
          <w:p w14:paraId="50E1DF89" w14:textId="77777777" w:rsidR="00F81FB6" w:rsidRDefault="00571C04">
            <w:pPr>
              <w:spacing w:before="60" w:after="60"/>
            </w:pPr>
            <w:r>
              <w:rPr>
                <w:b/>
                <w:bCs/>
                <w:color w:val="2F2F2F"/>
                <w:sz w:val="20"/>
                <w:szCs w:val="20"/>
              </w:rPr>
              <w:t>Active Litigation</w:t>
            </w:r>
          </w:p>
        </w:tc>
        <w:tc>
          <w:tcPr>
            <w:tcW w:w="3880" w:type="dxa"/>
            <w:tcBorders>
              <w:top w:val="single" w:sz="4" w:space="0" w:color="CCCCCC"/>
              <w:left w:val="single" w:sz="4" w:space="0" w:color="CCCCCC"/>
              <w:bottom w:val="single" w:sz="4" w:space="0" w:color="CCCCCC"/>
              <w:right w:val="single" w:sz="4" w:space="0" w:color="CCCCCC"/>
            </w:tcBorders>
            <w:shd w:val="clear" w:color="auto" w:fill="F2F7FC"/>
          </w:tcPr>
          <w:p w14:paraId="04495853" w14:textId="77777777" w:rsidR="00F81FB6" w:rsidRDefault="00571C04">
            <w:pPr>
              <w:spacing w:before="60" w:after="60"/>
            </w:pPr>
            <w:r>
              <w:rPr>
                <w:color w:val="2F2F2F"/>
                <w:sz w:val="20"/>
                <w:szCs w:val="20"/>
              </w:rPr>
              <w:t>Any active litigation with total exposure exceeding $5,000,000</w:t>
            </w:r>
          </w:p>
        </w:tc>
        <w:tc>
          <w:tcPr>
            <w:tcW w:w="1200" w:type="dxa"/>
            <w:tcBorders>
              <w:top w:val="single" w:sz="4" w:space="0" w:color="CCCCCC"/>
              <w:left w:val="single" w:sz="4" w:space="0" w:color="CCCCCC"/>
              <w:bottom w:val="single" w:sz="4" w:space="0" w:color="CCCCCC"/>
              <w:right w:val="single" w:sz="4" w:space="0" w:color="CCCCCC"/>
            </w:tcBorders>
            <w:shd w:val="clear" w:color="auto" w:fill="F2F7FC"/>
          </w:tcPr>
          <w:p w14:paraId="0CCE1B8E" w14:textId="77777777" w:rsidR="00F81FB6" w:rsidRDefault="00571C04">
            <w:pPr>
              <w:spacing w:before="60" w:after="60"/>
              <w:jc w:val="center"/>
            </w:pPr>
            <w:r>
              <w:rPr>
                <w:b/>
                <w:bCs/>
                <w:color w:val="1F4E79"/>
                <w:sz w:val="19"/>
                <w:szCs w:val="19"/>
              </w:rPr>
              <w:t>☐</w:t>
            </w:r>
            <w:r>
              <w:rPr>
                <w:b/>
                <w:bCs/>
                <w:color w:val="1F4E79"/>
                <w:sz w:val="19"/>
                <w:szCs w:val="19"/>
              </w:rPr>
              <w:t xml:space="preserve"> Pass   ☐ Fail</w:t>
            </w:r>
          </w:p>
        </w:tc>
        <w:tc>
          <w:tcPr>
            <w:tcW w:w="1100" w:type="dxa"/>
            <w:tcBorders>
              <w:top w:val="single" w:sz="4" w:space="0" w:color="CCCCCC"/>
              <w:left w:val="single" w:sz="4" w:space="0" w:color="CCCCCC"/>
              <w:bottom w:val="single" w:sz="4" w:space="0" w:color="CCCCCC"/>
              <w:right w:val="single" w:sz="4" w:space="0" w:color="CCCCCC"/>
            </w:tcBorders>
            <w:shd w:val="clear" w:color="auto" w:fill="F2F7FC"/>
          </w:tcPr>
          <w:p w14:paraId="5A03E14A" w14:textId="77777777" w:rsidR="00F81FB6" w:rsidRDefault="00571C04">
            <w:pPr>
              <w:spacing w:before="60" w:after="60"/>
              <w:jc w:val="center"/>
            </w:pPr>
            <w:r>
              <w:rPr>
                <w:color w:val="C00000"/>
                <w:sz w:val="20"/>
                <w:szCs w:val="20"/>
              </w:rPr>
              <w:t>VP/Exec</w:t>
            </w:r>
          </w:p>
        </w:tc>
      </w:tr>
      <w:tr w:rsidR="00F81FB6" w14:paraId="649616E1" w14:textId="77777777">
        <w:tblPrEx>
          <w:tblCellMar>
            <w:top w:w="0" w:type="dxa"/>
            <w:bottom w:w="0" w:type="dxa"/>
          </w:tblCellMar>
        </w:tblPrEx>
        <w:tc>
          <w:tcPr>
            <w:tcW w:w="380" w:type="dxa"/>
            <w:tcBorders>
              <w:top w:val="single" w:sz="4" w:space="0" w:color="CCCCCC"/>
              <w:left w:val="single" w:sz="4" w:space="0" w:color="CCCCCC"/>
              <w:bottom w:val="single" w:sz="4" w:space="0" w:color="CCCCCC"/>
              <w:right w:val="single" w:sz="4" w:space="0" w:color="CCCCCC"/>
            </w:tcBorders>
            <w:shd w:val="clear" w:color="auto" w:fill="FFFFFF"/>
          </w:tcPr>
          <w:p w14:paraId="6A303D8A" w14:textId="77777777" w:rsidR="00F81FB6" w:rsidRDefault="00571C04">
            <w:pPr>
              <w:spacing w:before="60" w:after="60"/>
              <w:jc w:val="center"/>
            </w:pPr>
            <w:r>
              <w:rPr>
                <w:b/>
                <w:bCs/>
                <w:color w:val="2F2F2F"/>
                <w:sz w:val="20"/>
                <w:szCs w:val="20"/>
              </w:rPr>
              <w:t>2</w:t>
            </w:r>
          </w:p>
        </w:tc>
        <w:tc>
          <w:tcPr>
            <w:tcW w:w="2800" w:type="dxa"/>
            <w:tcBorders>
              <w:top w:val="single" w:sz="4" w:space="0" w:color="CCCCCC"/>
              <w:left w:val="single" w:sz="4" w:space="0" w:color="CCCCCC"/>
              <w:bottom w:val="single" w:sz="4" w:space="0" w:color="CCCCCC"/>
              <w:right w:val="single" w:sz="4" w:space="0" w:color="CCCCCC"/>
            </w:tcBorders>
            <w:shd w:val="clear" w:color="auto" w:fill="FFFFFF"/>
          </w:tcPr>
          <w:p w14:paraId="57B5CCC5" w14:textId="77777777" w:rsidR="00F81FB6" w:rsidRDefault="00571C04">
            <w:pPr>
              <w:spacing w:before="60" w:after="60"/>
            </w:pPr>
            <w:r>
              <w:rPr>
                <w:b/>
                <w:bCs/>
                <w:color w:val="2F2F2F"/>
                <w:sz w:val="20"/>
                <w:szCs w:val="20"/>
              </w:rPr>
              <w:t>Regulatory Violations</w:t>
            </w:r>
          </w:p>
        </w:tc>
        <w:tc>
          <w:tcPr>
            <w:tcW w:w="3880" w:type="dxa"/>
            <w:tcBorders>
              <w:top w:val="single" w:sz="4" w:space="0" w:color="CCCCCC"/>
              <w:left w:val="single" w:sz="4" w:space="0" w:color="CCCCCC"/>
              <w:bottom w:val="single" w:sz="4" w:space="0" w:color="CCCCCC"/>
              <w:right w:val="single" w:sz="4" w:space="0" w:color="CCCCCC"/>
            </w:tcBorders>
            <w:shd w:val="clear" w:color="auto" w:fill="FFFFFF"/>
          </w:tcPr>
          <w:p w14:paraId="747D8225" w14:textId="77777777" w:rsidR="00F81FB6" w:rsidRDefault="00571C04">
            <w:pPr>
              <w:spacing w:before="60" w:after="60"/>
            </w:pPr>
            <w:r>
              <w:rPr>
                <w:color w:val="2F2F2F"/>
                <w:sz w:val="20"/>
                <w:szCs w:val="20"/>
              </w:rPr>
              <w:t>FMCSA willful or repeat violations; DOT serious violations; OSHA willful or repeat citations</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Pr>
          <w:p w14:paraId="0DF6CAD1" w14:textId="77777777" w:rsidR="00F81FB6" w:rsidRDefault="00571C04">
            <w:pPr>
              <w:spacing w:before="60" w:after="60"/>
              <w:jc w:val="center"/>
            </w:pPr>
            <w:r>
              <w:rPr>
                <w:b/>
                <w:bCs/>
                <w:color w:val="1F4E79"/>
                <w:sz w:val="19"/>
                <w:szCs w:val="19"/>
              </w:rPr>
              <w:t>☐</w:t>
            </w:r>
            <w:r>
              <w:rPr>
                <w:b/>
                <w:bCs/>
                <w:color w:val="1F4E79"/>
                <w:sz w:val="19"/>
                <w:szCs w:val="19"/>
              </w:rPr>
              <w:t xml:space="preserve"> Pass   ☐ Fail</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cPr>
          <w:p w14:paraId="4FCF73B0" w14:textId="77777777" w:rsidR="00F81FB6" w:rsidRDefault="00571C04">
            <w:pPr>
              <w:spacing w:before="60" w:after="60"/>
              <w:jc w:val="center"/>
            </w:pPr>
            <w:r>
              <w:rPr>
                <w:color w:val="C00000"/>
                <w:sz w:val="20"/>
                <w:szCs w:val="20"/>
              </w:rPr>
              <w:t>VP/Exec</w:t>
            </w:r>
          </w:p>
        </w:tc>
      </w:tr>
      <w:tr w:rsidR="00F81FB6" w14:paraId="2F67393F" w14:textId="77777777">
        <w:tblPrEx>
          <w:tblCellMar>
            <w:top w:w="0" w:type="dxa"/>
            <w:bottom w:w="0" w:type="dxa"/>
          </w:tblCellMar>
        </w:tblPrEx>
        <w:tc>
          <w:tcPr>
            <w:tcW w:w="380" w:type="dxa"/>
            <w:tcBorders>
              <w:top w:val="single" w:sz="4" w:space="0" w:color="CCCCCC"/>
              <w:left w:val="single" w:sz="4" w:space="0" w:color="CCCCCC"/>
              <w:bottom w:val="single" w:sz="4" w:space="0" w:color="CCCCCC"/>
              <w:right w:val="single" w:sz="4" w:space="0" w:color="CCCCCC"/>
            </w:tcBorders>
            <w:shd w:val="clear" w:color="auto" w:fill="F2F7FC"/>
          </w:tcPr>
          <w:p w14:paraId="6CF89DD0" w14:textId="77777777" w:rsidR="00F81FB6" w:rsidRDefault="00571C04">
            <w:pPr>
              <w:spacing w:before="60" w:after="60"/>
              <w:jc w:val="center"/>
            </w:pPr>
            <w:r>
              <w:rPr>
                <w:b/>
                <w:bCs/>
                <w:color w:val="2F2F2F"/>
                <w:sz w:val="20"/>
                <w:szCs w:val="20"/>
              </w:rPr>
              <w:lastRenderedPageBreak/>
              <w:t>3</w:t>
            </w:r>
          </w:p>
        </w:tc>
        <w:tc>
          <w:tcPr>
            <w:tcW w:w="2800" w:type="dxa"/>
            <w:tcBorders>
              <w:top w:val="single" w:sz="4" w:space="0" w:color="CCCCCC"/>
              <w:left w:val="single" w:sz="4" w:space="0" w:color="CCCCCC"/>
              <w:bottom w:val="single" w:sz="4" w:space="0" w:color="CCCCCC"/>
              <w:right w:val="single" w:sz="4" w:space="0" w:color="CCCCCC"/>
            </w:tcBorders>
            <w:shd w:val="clear" w:color="auto" w:fill="F2F7FC"/>
          </w:tcPr>
          <w:p w14:paraId="18CB19DE" w14:textId="77777777" w:rsidR="00F81FB6" w:rsidRDefault="00571C04">
            <w:pPr>
              <w:spacing w:before="60" w:after="60"/>
            </w:pPr>
            <w:r>
              <w:rPr>
                <w:b/>
                <w:bCs/>
                <w:color w:val="2F2F2F"/>
                <w:sz w:val="20"/>
                <w:szCs w:val="20"/>
              </w:rPr>
              <w:t>Financial Distress</w:t>
            </w:r>
          </w:p>
        </w:tc>
        <w:tc>
          <w:tcPr>
            <w:tcW w:w="3880" w:type="dxa"/>
            <w:tcBorders>
              <w:top w:val="single" w:sz="4" w:space="0" w:color="CCCCCC"/>
              <w:left w:val="single" w:sz="4" w:space="0" w:color="CCCCCC"/>
              <w:bottom w:val="single" w:sz="4" w:space="0" w:color="CCCCCC"/>
              <w:right w:val="single" w:sz="4" w:space="0" w:color="CCCCCC"/>
            </w:tcBorders>
            <w:shd w:val="clear" w:color="auto" w:fill="F2F7FC"/>
          </w:tcPr>
          <w:p w14:paraId="42AC234E" w14:textId="77777777" w:rsidR="00F81FB6" w:rsidRDefault="00571C04">
            <w:pPr>
              <w:spacing w:before="60" w:after="60"/>
            </w:pPr>
            <w:r>
              <w:rPr>
                <w:color w:val="2F2F2F"/>
                <w:sz w:val="20"/>
                <w:szCs w:val="20"/>
              </w:rPr>
              <w:t>Negative operating cash flow in 2+ of last 3 years; loan covenant violations; credit downgrade to non-investment grade</w:t>
            </w:r>
          </w:p>
        </w:tc>
        <w:tc>
          <w:tcPr>
            <w:tcW w:w="1200" w:type="dxa"/>
            <w:tcBorders>
              <w:top w:val="single" w:sz="4" w:space="0" w:color="CCCCCC"/>
              <w:left w:val="single" w:sz="4" w:space="0" w:color="CCCCCC"/>
              <w:bottom w:val="single" w:sz="4" w:space="0" w:color="CCCCCC"/>
              <w:right w:val="single" w:sz="4" w:space="0" w:color="CCCCCC"/>
            </w:tcBorders>
            <w:shd w:val="clear" w:color="auto" w:fill="F2F7FC"/>
          </w:tcPr>
          <w:p w14:paraId="60D33004" w14:textId="77777777" w:rsidR="00F81FB6" w:rsidRDefault="00571C04">
            <w:pPr>
              <w:spacing w:before="60" w:after="60"/>
              <w:jc w:val="center"/>
            </w:pPr>
            <w:r>
              <w:rPr>
                <w:b/>
                <w:bCs/>
                <w:color w:val="1F4E79"/>
                <w:sz w:val="19"/>
                <w:szCs w:val="19"/>
              </w:rPr>
              <w:t>☐</w:t>
            </w:r>
            <w:r>
              <w:rPr>
                <w:b/>
                <w:bCs/>
                <w:color w:val="1F4E79"/>
                <w:sz w:val="19"/>
                <w:szCs w:val="19"/>
              </w:rPr>
              <w:t xml:space="preserve"> Pass   ☐ Fail</w:t>
            </w:r>
          </w:p>
        </w:tc>
        <w:tc>
          <w:tcPr>
            <w:tcW w:w="1100" w:type="dxa"/>
            <w:tcBorders>
              <w:top w:val="single" w:sz="4" w:space="0" w:color="CCCCCC"/>
              <w:left w:val="single" w:sz="4" w:space="0" w:color="CCCCCC"/>
              <w:bottom w:val="single" w:sz="4" w:space="0" w:color="CCCCCC"/>
              <w:right w:val="single" w:sz="4" w:space="0" w:color="CCCCCC"/>
            </w:tcBorders>
            <w:shd w:val="clear" w:color="auto" w:fill="F2F7FC"/>
          </w:tcPr>
          <w:p w14:paraId="20E5EAA3" w14:textId="77777777" w:rsidR="00F81FB6" w:rsidRDefault="00571C04">
            <w:pPr>
              <w:spacing w:before="60" w:after="60"/>
              <w:jc w:val="center"/>
            </w:pPr>
            <w:r>
              <w:rPr>
                <w:color w:val="C00000"/>
                <w:sz w:val="20"/>
                <w:szCs w:val="20"/>
              </w:rPr>
              <w:t>VP/Exec</w:t>
            </w:r>
          </w:p>
        </w:tc>
      </w:tr>
      <w:tr w:rsidR="00F81FB6" w14:paraId="62702A05" w14:textId="77777777">
        <w:tblPrEx>
          <w:tblCellMar>
            <w:top w:w="0" w:type="dxa"/>
            <w:bottom w:w="0" w:type="dxa"/>
          </w:tblCellMar>
        </w:tblPrEx>
        <w:tc>
          <w:tcPr>
            <w:tcW w:w="380" w:type="dxa"/>
            <w:tcBorders>
              <w:top w:val="single" w:sz="4" w:space="0" w:color="CCCCCC"/>
              <w:left w:val="single" w:sz="4" w:space="0" w:color="CCCCCC"/>
              <w:bottom w:val="single" w:sz="4" w:space="0" w:color="CCCCCC"/>
              <w:right w:val="single" w:sz="4" w:space="0" w:color="CCCCCC"/>
            </w:tcBorders>
            <w:shd w:val="clear" w:color="auto" w:fill="FFFFFF"/>
          </w:tcPr>
          <w:p w14:paraId="260BEB0C" w14:textId="77777777" w:rsidR="00F81FB6" w:rsidRDefault="00571C04">
            <w:pPr>
              <w:spacing w:before="60" w:after="60"/>
              <w:jc w:val="center"/>
            </w:pPr>
            <w:r>
              <w:rPr>
                <w:b/>
                <w:bCs/>
                <w:color w:val="2F2F2F"/>
                <w:sz w:val="20"/>
                <w:szCs w:val="20"/>
              </w:rPr>
              <w:t>4</w:t>
            </w:r>
          </w:p>
        </w:tc>
        <w:tc>
          <w:tcPr>
            <w:tcW w:w="2800" w:type="dxa"/>
            <w:tcBorders>
              <w:top w:val="single" w:sz="4" w:space="0" w:color="CCCCCC"/>
              <w:left w:val="single" w:sz="4" w:space="0" w:color="CCCCCC"/>
              <w:bottom w:val="single" w:sz="4" w:space="0" w:color="CCCCCC"/>
              <w:right w:val="single" w:sz="4" w:space="0" w:color="CCCCCC"/>
            </w:tcBorders>
            <w:shd w:val="clear" w:color="auto" w:fill="FFFFFF"/>
          </w:tcPr>
          <w:p w14:paraId="3244F7F0" w14:textId="77777777" w:rsidR="00F81FB6" w:rsidRDefault="00571C04">
            <w:pPr>
              <w:spacing w:before="60" w:after="60"/>
            </w:pPr>
            <w:r>
              <w:rPr>
                <w:b/>
                <w:bCs/>
                <w:color w:val="2F2F2F"/>
                <w:sz w:val="20"/>
                <w:szCs w:val="20"/>
              </w:rPr>
              <w:t>Debarment Status</w:t>
            </w:r>
          </w:p>
        </w:tc>
        <w:tc>
          <w:tcPr>
            <w:tcW w:w="3880" w:type="dxa"/>
            <w:tcBorders>
              <w:top w:val="single" w:sz="4" w:space="0" w:color="CCCCCC"/>
              <w:left w:val="single" w:sz="4" w:space="0" w:color="CCCCCC"/>
              <w:bottom w:val="single" w:sz="4" w:space="0" w:color="CCCCCC"/>
              <w:right w:val="single" w:sz="4" w:space="0" w:color="CCCCCC"/>
            </w:tcBorders>
            <w:shd w:val="clear" w:color="auto" w:fill="FFFFFF"/>
          </w:tcPr>
          <w:p w14:paraId="1AE87E18" w14:textId="77777777" w:rsidR="00F81FB6" w:rsidRDefault="00571C04">
            <w:pPr>
              <w:spacing w:before="60" w:after="60"/>
            </w:pPr>
            <w:r>
              <w:rPr>
                <w:color w:val="2F2F2F"/>
                <w:sz w:val="20"/>
                <w:szCs w:val="20"/>
              </w:rPr>
              <w:t>Any federal, state, or local government debarment or suspension</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Pr>
          <w:p w14:paraId="643A1244" w14:textId="77777777" w:rsidR="00F81FB6" w:rsidRDefault="00571C04">
            <w:pPr>
              <w:spacing w:before="60" w:after="60"/>
              <w:jc w:val="center"/>
            </w:pPr>
            <w:r>
              <w:rPr>
                <w:b/>
                <w:bCs/>
                <w:color w:val="1F4E79"/>
                <w:sz w:val="19"/>
                <w:szCs w:val="19"/>
              </w:rPr>
              <w:t>☐</w:t>
            </w:r>
            <w:r>
              <w:rPr>
                <w:b/>
                <w:bCs/>
                <w:color w:val="1F4E79"/>
                <w:sz w:val="19"/>
                <w:szCs w:val="19"/>
              </w:rPr>
              <w:t xml:space="preserve"> Pass   ☐ Fail</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cPr>
          <w:p w14:paraId="22DBB9B5" w14:textId="77777777" w:rsidR="00F81FB6" w:rsidRDefault="00571C04">
            <w:pPr>
              <w:spacing w:before="60" w:after="60"/>
              <w:jc w:val="center"/>
            </w:pPr>
            <w:r>
              <w:rPr>
                <w:color w:val="C00000"/>
                <w:sz w:val="20"/>
                <w:szCs w:val="20"/>
              </w:rPr>
              <w:t>VP/Exec</w:t>
            </w:r>
          </w:p>
        </w:tc>
      </w:tr>
      <w:tr w:rsidR="00F81FB6" w14:paraId="6FA94BBD" w14:textId="77777777">
        <w:tblPrEx>
          <w:tblCellMar>
            <w:top w:w="0" w:type="dxa"/>
            <w:bottom w:w="0" w:type="dxa"/>
          </w:tblCellMar>
        </w:tblPrEx>
        <w:tc>
          <w:tcPr>
            <w:tcW w:w="380" w:type="dxa"/>
            <w:tcBorders>
              <w:top w:val="single" w:sz="4" w:space="0" w:color="CCCCCC"/>
              <w:left w:val="single" w:sz="4" w:space="0" w:color="CCCCCC"/>
              <w:bottom w:val="single" w:sz="4" w:space="0" w:color="CCCCCC"/>
              <w:right w:val="single" w:sz="4" w:space="0" w:color="CCCCCC"/>
            </w:tcBorders>
            <w:shd w:val="clear" w:color="auto" w:fill="F2F7FC"/>
          </w:tcPr>
          <w:p w14:paraId="0408F6C9" w14:textId="77777777" w:rsidR="00F81FB6" w:rsidRDefault="00571C04">
            <w:pPr>
              <w:spacing w:before="60" w:after="60"/>
              <w:jc w:val="center"/>
            </w:pPr>
            <w:r>
              <w:rPr>
                <w:b/>
                <w:bCs/>
                <w:color w:val="2F2F2F"/>
                <w:sz w:val="20"/>
                <w:szCs w:val="20"/>
              </w:rPr>
              <w:t>5</w:t>
            </w:r>
          </w:p>
        </w:tc>
        <w:tc>
          <w:tcPr>
            <w:tcW w:w="2800" w:type="dxa"/>
            <w:tcBorders>
              <w:top w:val="single" w:sz="4" w:space="0" w:color="CCCCCC"/>
              <w:left w:val="single" w:sz="4" w:space="0" w:color="CCCCCC"/>
              <w:bottom w:val="single" w:sz="4" w:space="0" w:color="CCCCCC"/>
              <w:right w:val="single" w:sz="4" w:space="0" w:color="CCCCCC"/>
            </w:tcBorders>
            <w:shd w:val="clear" w:color="auto" w:fill="F2F7FC"/>
          </w:tcPr>
          <w:p w14:paraId="66F01EE3" w14:textId="77777777" w:rsidR="00F81FB6" w:rsidRDefault="00571C04">
            <w:pPr>
              <w:spacing w:before="60" w:after="60"/>
            </w:pPr>
            <w:r>
              <w:rPr>
                <w:b/>
                <w:bCs/>
                <w:color w:val="2F2F2F"/>
                <w:sz w:val="20"/>
                <w:szCs w:val="20"/>
              </w:rPr>
              <w:t>Safety Metrics</w:t>
            </w:r>
          </w:p>
        </w:tc>
        <w:tc>
          <w:tcPr>
            <w:tcW w:w="3880" w:type="dxa"/>
            <w:tcBorders>
              <w:top w:val="single" w:sz="4" w:space="0" w:color="CCCCCC"/>
              <w:left w:val="single" w:sz="4" w:space="0" w:color="CCCCCC"/>
              <w:bottom w:val="single" w:sz="4" w:space="0" w:color="CCCCCC"/>
              <w:right w:val="single" w:sz="4" w:space="0" w:color="CCCCCC"/>
            </w:tcBorders>
            <w:shd w:val="clear" w:color="auto" w:fill="F2F7FC"/>
          </w:tcPr>
          <w:p w14:paraId="24DDC834" w14:textId="77777777" w:rsidR="00F81FB6" w:rsidRDefault="00571C04">
            <w:pPr>
              <w:spacing w:before="60" w:after="60"/>
            </w:pPr>
            <w:r>
              <w:rPr>
                <w:color w:val="2F2F2F"/>
                <w:sz w:val="20"/>
                <w:szCs w:val="20"/>
              </w:rPr>
              <w:t>EMR &gt; 1.2  OR  TRIR &gt; 3.0  OR  DOT Out-of-Service rate exceeding national average</w:t>
            </w:r>
          </w:p>
        </w:tc>
        <w:tc>
          <w:tcPr>
            <w:tcW w:w="1200" w:type="dxa"/>
            <w:tcBorders>
              <w:top w:val="single" w:sz="4" w:space="0" w:color="CCCCCC"/>
              <w:left w:val="single" w:sz="4" w:space="0" w:color="CCCCCC"/>
              <w:bottom w:val="single" w:sz="4" w:space="0" w:color="CCCCCC"/>
              <w:right w:val="single" w:sz="4" w:space="0" w:color="CCCCCC"/>
            </w:tcBorders>
            <w:shd w:val="clear" w:color="auto" w:fill="F2F7FC"/>
          </w:tcPr>
          <w:p w14:paraId="6B562F48" w14:textId="77777777" w:rsidR="00F81FB6" w:rsidRDefault="00571C04">
            <w:pPr>
              <w:spacing w:before="60" w:after="60"/>
              <w:jc w:val="center"/>
            </w:pPr>
            <w:r>
              <w:rPr>
                <w:b/>
                <w:bCs/>
                <w:color w:val="1F4E79"/>
                <w:sz w:val="19"/>
                <w:szCs w:val="19"/>
              </w:rPr>
              <w:t>☐</w:t>
            </w:r>
            <w:r>
              <w:rPr>
                <w:b/>
                <w:bCs/>
                <w:color w:val="1F4E79"/>
                <w:sz w:val="19"/>
                <w:szCs w:val="19"/>
              </w:rPr>
              <w:t xml:space="preserve"> Pass   ☐ Fail</w:t>
            </w:r>
          </w:p>
        </w:tc>
        <w:tc>
          <w:tcPr>
            <w:tcW w:w="1100" w:type="dxa"/>
            <w:tcBorders>
              <w:top w:val="single" w:sz="4" w:space="0" w:color="CCCCCC"/>
              <w:left w:val="single" w:sz="4" w:space="0" w:color="CCCCCC"/>
              <w:bottom w:val="single" w:sz="4" w:space="0" w:color="CCCCCC"/>
              <w:right w:val="single" w:sz="4" w:space="0" w:color="CCCCCC"/>
            </w:tcBorders>
            <w:shd w:val="clear" w:color="auto" w:fill="F2F7FC"/>
          </w:tcPr>
          <w:p w14:paraId="6460C66E" w14:textId="77777777" w:rsidR="00F81FB6" w:rsidRDefault="00571C04">
            <w:pPr>
              <w:spacing w:before="60" w:after="60"/>
              <w:jc w:val="center"/>
            </w:pPr>
            <w:r>
              <w:rPr>
                <w:color w:val="C00000"/>
                <w:sz w:val="20"/>
                <w:szCs w:val="20"/>
              </w:rPr>
              <w:t>VP/Exec</w:t>
            </w:r>
          </w:p>
        </w:tc>
      </w:tr>
      <w:tr w:rsidR="00F81FB6" w14:paraId="2689C7A4" w14:textId="77777777">
        <w:tblPrEx>
          <w:tblCellMar>
            <w:top w:w="0" w:type="dxa"/>
            <w:bottom w:w="0" w:type="dxa"/>
          </w:tblCellMar>
        </w:tblPrEx>
        <w:tc>
          <w:tcPr>
            <w:tcW w:w="380" w:type="dxa"/>
            <w:tcBorders>
              <w:top w:val="single" w:sz="4" w:space="0" w:color="CCCCCC"/>
              <w:left w:val="single" w:sz="4" w:space="0" w:color="CCCCCC"/>
              <w:bottom w:val="single" w:sz="4" w:space="0" w:color="CCCCCC"/>
              <w:right w:val="single" w:sz="4" w:space="0" w:color="CCCCCC"/>
            </w:tcBorders>
            <w:shd w:val="clear" w:color="auto" w:fill="FFFFFF"/>
          </w:tcPr>
          <w:p w14:paraId="4CCB936F" w14:textId="77777777" w:rsidR="00F81FB6" w:rsidRDefault="00571C04">
            <w:pPr>
              <w:spacing w:before="60" w:after="60"/>
              <w:jc w:val="center"/>
            </w:pPr>
            <w:r>
              <w:rPr>
                <w:b/>
                <w:bCs/>
                <w:color w:val="2F2F2F"/>
                <w:sz w:val="20"/>
                <w:szCs w:val="20"/>
              </w:rPr>
              <w:t>6</w:t>
            </w:r>
          </w:p>
        </w:tc>
        <w:tc>
          <w:tcPr>
            <w:tcW w:w="2800" w:type="dxa"/>
            <w:tcBorders>
              <w:top w:val="single" w:sz="4" w:space="0" w:color="CCCCCC"/>
              <w:left w:val="single" w:sz="4" w:space="0" w:color="CCCCCC"/>
              <w:bottom w:val="single" w:sz="4" w:space="0" w:color="CCCCCC"/>
              <w:right w:val="single" w:sz="4" w:space="0" w:color="CCCCCC"/>
            </w:tcBorders>
            <w:shd w:val="clear" w:color="auto" w:fill="FFFFFF"/>
          </w:tcPr>
          <w:p w14:paraId="38E3FA3E" w14:textId="77777777" w:rsidR="00F81FB6" w:rsidRDefault="00571C04">
            <w:pPr>
              <w:spacing w:before="60" w:after="60"/>
            </w:pPr>
            <w:r>
              <w:rPr>
                <w:b/>
                <w:bCs/>
                <w:color w:val="2F2F2F"/>
                <w:sz w:val="20"/>
                <w:szCs w:val="20"/>
              </w:rPr>
              <w:t>Insurance / Bond Capacity</w:t>
            </w:r>
          </w:p>
        </w:tc>
        <w:tc>
          <w:tcPr>
            <w:tcW w:w="3880" w:type="dxa"/>
            <w:tcBorders>
              <w:top w:val="single" w:sz="4" w:space="0" w:color="CCCCCC"/>
              <w:left w:val="single" w:sz="4" w:space="0" w:color="CCCCCC"/>
              <w:bottom w:val="single" w:sz="4" w:space="0" w:color="CCCCCC"/>
              <w:right w:val="single" w:sz="4" w:space="0" w:color="CCCCCC"/>
            </w:tcBorders>
            <w:shd w:val="clear" w:color="auto" w:fill="FFFFFF"/>
          </w:tcPr>
          <w:p w14:paraId="1D03EC1A" w14:textId="77777777" w:rsidR="00F81FB6" w:rsidRDefault="00571C04">
            <w:pPr>
              <w:spacing w:before="60" w:after="60"/>
            </w:pPr>
            <w:r>
              <w:rPr>
                <w:color w:val="2F2F2F"/>
                <w:sz w:val="20"/>
                <w:szCs w:val="20"/>
              </w:rPr>
              <w:t>Insufficient cargo, auto liability, general liability, or warehouse legal liability coverage for engagement scope</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Pr>
          <w:p w14:paraId="3A85512D" w14:textId="77777777" w:rsidR="00F81FB6" w:rsidRDefault="00571C04">
            <w:pPr>
              <w:spacing w:before="60" w:after="60"/>
              <w:jc w:val="center"/>
            </w:pPr>
            <w:r>
              <w:rPr>
                <w:b/>
                <w:bCs/>
                <w:color w:val="1F4E79"/>
                <w:sz w:val="19"/>
                <w:szCs w:val="19"/>
              </w:rPr>
              <w:t>☐</w:t>
            </w:r>
            <w:r>
              <w:rPr>
                <w:b/>
                <w:bCs/>
                <w:color w:val="1F4E79"/>
                <w:sz w:val="19"/>
                <w:szCs w:val="19"/>
              </w:rPr>
              <w:t xml:space="preserve"> Pass   ☐ Fail</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cPr>
          <w:p w14:paraId="2787F9E0" w14:textId="77777777" w:rsidR="00F81FB6" w:rsidRDefault="00571C04">
            <w:pPr>
              <w:spacing w:before="60" w:after="60"/>
              <w:jc w:val="center"/>
            </w:pPr>
            <w:r>
              <w:rPr>
                <w:color w:val="C00000"/>
                <w:sz w:val="20"/>
                <w:szCs w:val="20"/>
              </w:rPr>
              <w:t>VP/Exec</w:t>
            </w:r>
          </w:p>
        </w:tc>
      </w:tr>
      <w:tr w:rsidR="00F81FB6" w14:paraId="13764AD4" w14:textId="77777777">
        <w:tblPrEx>
          <w:tblCellMar>
            <w:top w:w="0" w:type="dxa"/>
            <w:bottom w:w="0" w:type="dxa"/>
          </w:tblCellMar>
        </w:tblPrEx>
        <w:tc>
          <w:tcPr>
            <w:tcW w:w="380" w:type="dxa"/>
            <w:tcBorders>
              <w:top w:val="single" w:sz="4" w:space="0" w:color="CCCCCC"/>
              <w:left w:val="single" w:sz="4" w:space="0" w:color="CCCCCC"/>
              <w:bottom w:val="single" w:sz="4" w:space="0" w:color="CCCCCC"/>
              <w:right w:val="single" w:sz="4" w:space="0" w:color="CCCCCC"/>
            </w:tcBorders>
            <w:shd w:val="clear" w:color="auto" w:fill="F2F7FC"/>
          </w:tcPr>
          <w:p w14:paraId="0EBC9A13" w14:textId="77777777" w:rsidR="00F81FB6" w:rsidRDefault="00571C04">
            <w:pPr>
              <w:spacing w:before="60" w:after="60"/>
              <w:jc w:val="center"/>
            </w:pPr>
            <w:r>
              <w:rPr>
                <w:b/>
                <w:bCs/>
                <w:color w:val="2F2F2F"/>
                <w:sz w:val="20"/>
                <w:szCs w:val="20"/>
              </w:rPr>
              <w:t>7</w:t>
            </w:r>
          </w:p>
        </w:tc>
        <w:tc>
          <w:tcPr>
            <w:tcW w:w="2800" w:type="dxa"/>
            <w:tcBorders>
              <w:top w:val="single" w:sz="4" w:space="0" w:color="CCCCCC"/>
              <w:left w:val="single" w:sz="4" w:space="0" w:color="CCCCCC"/>
              <w:bottom w:val="single" w:sz="4" w:space="0" w:color="CCCCCC"/>
              <w:right w:val="single" w:sz="4" w:space="0" w:color="CCCCCC"/>
            </w:tcBorders>
            <w:shd w:val="clear" w:color="auto" w:fill="F2F7FC"/>
          </w:tcPr>
          <w:p w14:paraId="746F86EB" w14:textId="77777777" w:rsidR="00F81FB6" w:rsidRDefault="00571C04">
            <w:pPr>
              <w:spacing w:before="60" w:after="60"/>
            </w:pPr>
            <w:r>
              <w:rPr>
                <w:b/>
                <w:bCs/>
                <w:color w:val="2F2F2F"/>
                <w:sz w:val="20"/>
                <w:szCs w:val="20"/>
              </w:rPr>
              <w:t>License / Authority Status</w:t>
            </w:r>
          </w:p>
        </w:tc>
        <w:tc>
          <w:tcPr>
            <w:tcW w:w="3880" w:type="dxa"/>
            <w:tcBorders>
              <w:top w:val="single" w:sz="4" w:space="0" w:color="CCCCCC"/>
              <w:left w:val="single" w:sz="4" w:space="0" w:color="CCCCCC"/>
              <w:bottom w:val="single" w:sz="4" w:space="0" w:color="CCCCCC"/>
              <w:right w:val="single" w:sz="4" w:space="0" w:color="CCCCCC"/>
            </w:tcBorders>
            <w:shd w:val="clear" w:color="auto" w:fill="F2F7FC"/>
          </w:tcPr>
          <w:p w14:paraId="7597D22A" w14:textId="77777777" w:rsidR="00F81FB6" w:rsidRDefault="00571C04">
            <w:pPr>
              <w:spacing w:before="60" w:after="60"/>
            </w:pPr>
            <w:r>
              <w:rPr>
                <w:color w:val="2F2F2F"/>
                <w:sz w:val="20"/>
                <w:szCs w:val="20"/>
              </w:rPr>
              <w:t>Expired or suspended MC authority, DOT registration, state operating licenses, or FMCSA operating authority revoked</w:t>
            </w:r>
          </w:p>
        </w:tc>
        <w:tc>
          <w:tcPr>
            <w:tcW w:w="1200" w:type="dxa"/>
            <w:tcBorders>
              <w:top w:val="single" w:sz="4" w:space="0" w:color="CCCCCC"/>
              <w:left w:val="single" w:sz="4" w:space="0" w:color="CCCCCC"/>
              <w:bottom w:val="single" w:sz="4" w:space="0" w:color="CCCCCC"/>
              <w:right w:val="single" w:sz="4" w:space="0" w:color="CCCCCC"/>
            </w:tcBorders>
            <w:shd w:val="clear" w:color="auto" w:fill="F2F7FC"/>
          </w:tcPr>
          <w:p w14:paraId="5C668B91" w14:textId="77777777" w:rsidR="00F81FB6" w:rsidRDefault="00571C04">
            <w:pPr>
              <w:spacing w:before="60" w:after="60"/>
              <w:jc w:val="center"/>
            </w:pPr>
            <w:r>
              <w:rPr>
                <w:b/>
                <w:bCs/>
                <w:color w:val="1F4E79"/>
                <w:sz w:val="19"/>
                <w:szCs w:val="19"/>
              </w:rPr>
              <w:t>☐</w:t>
            </w:r>
            <w:r>
              <w:rPr>
                <w:b/>
                <w:bCs/>
                <w:color w:val="1F4E79"/>
                <w:sz w:val="19"/>
                <w:szCs w:val="19"/>
              </w:rPr>
              <w:t xml:space="preserve"> Pass   ☐ Fail</w:t>
            </w:r>
          </w:p>
        </w:tc>
        <w:tc>
          <w:tcPr>
            <w:tcW w:w="1100" w:type="dxa"/>
            <w:tcBorders>
              <w:top w:val="single" w:sz="4" w:space="0" w:color="CCCCCC"/>
              <w:left w:val="single" w:sz="4" w:space="0" w:color="CCCCCC"/>
              <w:bottom w:val="single" w:sz="4" w:space="0" w:color="CCCCCC"/>
              <w:right w:val="single" w:sz="4" w:space="0" w:color="CCCCCC"/>
            </w:tcBorders>
            <w:shd w:val="clear" w:color="auto" w:fill="F2F7FC"/>
          </w:tcPr>
          <w:p w14:paraId="650532AF" w14:textId="77777777" w:rsidR="00F81FB6" w:rsidRDefault="00571C04">
            <w:pPr>
              <w:spacing w:before="60" w:after="60"/>
              <w:jc w:val="center"/>
            </w:pPr>
            <w:r>
              <w:rPr>
                <w:color w:val="C00000"/>
                <w:sz w:val="20"/>
                <w:szCs w:val="20"/>
              </w:rPr>
              <w:t>VP/Exec</w:t>
            </w:r>
          </w:p>
        </w:tc>
      </w:tr>
    </w:tbl>
    <w:p w14:paraId="3C216608" w14:textId="77777777" w:rsidR="00F81FB6" w:rsidRDefault="00F81FB6"/>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81FB6" w14:paraId="7C3152F6" w14:textId="77777777">
        <w:tblPrEx>
          <w:tblCellMar>
            <w:top w:w="0" w:type="dxa"/>
            <w:bottom w:w="0" w:type="dxa"/>
          </w:tblCellMar>
        </w:tblPrEx>
        <w:tc>
          <w:tcPr>
            <w:tcW w:w="9360" w:type="dxa"/>
            <w:tcBorders>
              <w:top w:val="single" w:sz="4" w:space="0" w:color="C00000"/>
              <w:left w:val="single" w:sz="12" w:space="0" w:color="C00000"/>
              <w:bottom w:val="single" w:sz="4" w:space="0" w:color="C00000"/>
              <w:right w:val="single" w:sz="4" w:space="0" w:color="C00000"/>
            </w:tcBorders>
            <w:shd w:val="clear" w:color="auto" w:fill="FFF2F2"/>
          </w:tcPr>
          <w:p w14:paraId="68541187" w14:textId="77777777" w:rsidR="00F81FB6" w:rsidRDefault="00571C04">
            <w:pPr>
              <w:spacing w:before="80" w:after="80"/>
              <w:ind w:left="200"/>
            </w:pPr>
            <w:r>
              <w:rPr>
                <w:b/>
                <w:bCs/>
                <w:color w:val="C00000"/>
                <w:sz w:val="20"/>
                <w:szCs w:val="20"/>
              </w:rPr>
              <w:t>⚠</w:t>
            </w:r>
            <w:r>
              <w:rPr>
                <w:b/>
                <w:bCs/>
                <w:color w:val="C00000"/>
                <w:sz w:val="20"/>
                <w:szCs w:val="20"/>
              </w:rPr>
              <w:t xml:space="preserve">  IMPORTANT: </w:t>
            </w:r>
            <w:r>
              <w:rPr>
                <w:color w:val="2F2F2F"/>
                <w:sz w:val="20"/>
                <w:szCs w:val="20"/>
              </w:rPr>
              <w:t>Any single Fail result requires immediate VP/Executive escalation. The vendor is automatically classified as CRITICAL RISK and must not proceed to weighted scoring. Document the specific indicator(s) that failed and notify the vendor per the decision frame</w:t>
            </w:r>
            <w:r>
              <w:rPr>
                <w:color w:val="2F2F2F"/>
                <w:sz w:val="20"/>
                <w:szCs w:val="20"/>
              </w:rPr>
              <w:t>work in Section F.</w:t>
            </w:r>
          </w:p>
        </w:tc>
      </w:tr>
    </w:tbl>
    <w:p w14:paraId="0B48AF4A" w14:textId="77777777" w:rsidR="00F81FB6" w:rsidRDefault="00F81FB6">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81FB6" w14:paraId="7719AA44"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4E79"/>
          </w:tcPr>
          <w:p w14:paraId="7E797089" w14:textId="77777777" w:rsidR="00F81FB6" w:rsidRDefault="00571C04">
            <w:pPr>
              <w:pStyle w:val="SectionHeader"/>
              <w:spacing w:before="120" w:after="40"/>
              <w:ind w:left="160"/>
            </w:pPr>
            <w:r>
              <w:t>SECTION B</w:t>
            </w:r>
          </w:p>
          <w:p w14:paraId="13DF42FD" w14:textId="77777777" w:rsidR="00F81FB6" w:rsidRDefault="00571C04">
            <w:pPr>
              <w:spacing w:after="120"/>
              <w:ind w:left="160"/>
            </w:pPr>
            <w:r>
              <w:rPr>
                <w:i/>
                <w:iCs/>
                <w:color w:val="BDD7EE"/>
                <w:sz w:val="19"/>
                <w:szCs w:val="19"/>
              </w:rPr>
              <w:t>Weighted Risk Categories</w:t>
            </w:r>
          </w:p>
        </w:tc>
      </w:tr>
    </w:tbl>
    <w:p w14:paraId="2EA5E20C" w14:textId="77777777" w:rsidR="00F81FB6" w:rsidRDefault="00F81FB6">
      <w:pPr>
        <w:spacing w:after="120"/>
      </w:pPr>
    </w:p>
    <w:p w14:paraId="2CDDBD34" w14:textId="77777777" w:rsidR="00F81FB6" w:rsidRDefault="00571C04">
      <w:pPr>
        <w:pStyle w:val="BodyText"/>
      </w:pPr>
      <w:r>
        <w:t xml:space="preserve">The following six categories comprise the 400-point composite risk score. Weights reflect the specific risk dynamics of logistics, freight, transportation, and warehousing operations. All vendors that pass Section A CRI screening are scored across all six </w:t>
      </w:r>
      <w:r>
        <w:t>categories.</w:t>
      </w:r>
    </w:p>
    <w:p w14:paraId="51B03B5F" w14:textId="77777777" w:rsidR="00F81FB6" w:rsidRDefault="00F81FB6"/>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800"/>
        <w:gridCol w:w="900"/>
        <w:gridCol w:w="4860"/>
      </w:tblGrid>
      <w:tr w:rsidR="00F81FB6" w14:paraId="7CE5370B" w14:textId="77777777">
        <w:tblPrEx>
          <w:tblCellMar>
            <w:top w:w="0" w:type="dxa"/>
            <w:bottom w:w="0" w:type="dxa"/>
          </w:tblCellMar>
        </w:tblPrEx>
        <w:trPr>
          <w:tblHeader/>
        </w:trPr>
        <w:tc>
          <w:tcPr>
            <w:tcW w:w="2800" w:type="dxa"/>
            <w:tcBorders>
              <w:top w:val="single" w:sz="4" w:space="0" w:color="CCCCCC"/>
              <w:left w:val="single" w:sz="4" w:space="0" w:color="CCCCCC"/>
              <w:bottom w:val="single" w:sz="4" w:space="0" w:color="CCCCCC"/>
              <w:right w:val="single" w:sz="4" w:space="0" w:color="CCCCCC"/>
            </w:tcBorders>
            <w:shd w:val="clear" w:color="auto" w:fill="1F4E79"/>
            <w:vAlign w:val="center"/>
          </w:tcPr>
          <w:p w14:paraId="70E2904A" w14:textId="77777777" w:rsidR="00F81FB6" w:rsidRDefault="00571C04">
            <w:pPr>
              <w:spacing w:before="60" w:after="60"/>
              <w:jc w:val="center"/>
            </w:pPr>
            <w:r>
              <w:rPr>
                <w:b/>
                <w:bCs/>
                <w:color w:val="FFFFFF"/>
                <w:sz w:val="20"/>
                <w:szCs w:val="20"/>
              </w:rPr>
              <w:t>Risk Category</w:t>
            </w:r>
          </w:p>
        </w:tc>
        <w:tc>
          <w:tcPr>
            <w:tcW w:w="800" w:type="dxa"/>
            <w:tcBorders>
              <w:top w:val="single" w:sz="4" w:space="0" w:color="CCCCCC"/>
              <w:left w:val="single" w:sz="4" w:space="0" w:color="CCCCCC"/>
              <w:bottom w:val="single" w:sz="4" w:space="0" w:color="CCCCCC"/>
              <w:right w:val="single" w:sz="4" w:space="0" w:color="CCCCCC"/>
            </w:tcBorders>
            <w:shd w:val="clear" w:color="auto" w:fill="1F4E79"/>
            <w:vAlign w:val="center"/>
          </w:tcPr>
          <w:p w14:paraId="3EC64C7C" w14:textId="77777777" w:rsidR="00F81FB6" w:rsidRDefault="00571C04">
            <w:pPr>
              <w:spacing w:before="60" w:after="60"/>
              <w:jc w:val="center"/>
            </w:pPr>
            <w:r>
              <w:rPr>
                <w:b/>
                <w:bCs/>
                <w:color w:val="FFFFFF"/>
                <w:sz w:val="20"/>
                <w:szCs w:val="20"/>
              </w:rPr>
              <w:t>Weight</w:t>
            </w:r>
          </w:p>
        </w:tc>
        <w:tc>
          <w:tcPr>
            <w:tcW w:w="900" w:type="dxa"/>
            <w:tcBorders>
              <w:top w:val="single" w:sz="4" w:space="0" w:color="CCCCCC"/>
              <w:left w:val="single" w:sz="4" w:space="0" w:color="CCCCCC"/>
              <w:bottom w:val="single" w:sz="4" w:space="0" w:color="CCCCCC"/>
              <w:right w:val="single" w:sz="4" w:space="0" w:color="CCCCCC"/>
            </w:tcBorders>
            <w:shd w:val="clear" w:color="auto" w:fill="1F4E79"/>
            <w:vAlign w:val="center"/>
          </w:tcPr>
          <w:p w14:paraId="58711693" w14:textId="77777777" w:rsidR="00F81FB6" w:rsidRDefault="00571C04">
            <w:pPr>
              <w:spacing w:before="60" w:after="60"/>
              <w:jc w:val="center"/>
            </w:pPr>
            <w:r>
              <w:rPr>
                <w:b/>
                <w:bCs/>
                <w:color w:val="FFFFFF"/>
                <w:sz w:val="20"/>
                <w:szCs w:val="20"/>
              </w:rPr>
              <w:t>Max Score</w:t>
            </w:r>
          </w:p>
        </w:tc>
        <w:tc>
          <w:tcPr>
            <w:tcW w:w="4860" w:type="dxa"/>
            <w:tcBorders>
              <w:top w:val="single" w:sz="4" w:space="0" w:color="CCCCCC"/>
              <w:left w:val="single" w:sz="4" w:space="0" w:color="CCCCCC"/>
              <w:bottom w:val="single" w:sz="4" w:space="0" w:color="CCCCCC"/>
              <w:right w:val="single" w:sz="4" w:space="0" w:color="CCCCCC"/>
            </w:tcBorders>
            <w:shd w:val="clear" w:color="auto" w:fill="1F4E79"/>
            <w:vAlign w:val="center"/>
          </w:tcPr>
          <w:p w14:paraId="057BE3F7" w14:textId="77777777" w:rsidR="00F81FB6" w:rsidRDefault="00571C04">
            <w:pPr>
              <w:spacing w:before="60" w:after="60"/>
              <w:jc w:val="center"/>
            </w:pPr>
            <w:r>
              <w:rPr>
                <w:b/>
                <w:bCs/>
                <w:color w:val="FFFFFF"/>
                <w:sz w:val="20"/>
                <w:szCs w:val="20"/>
              </w:rPr>
              <w:t>Logistics-Specific Rationale</w:t>
            </w:r>
          </w:p>
        </w:tc>
      </w:tr>
      <w:tr w:rsidR="00F81FB6" w14:paraId="095A2B1E" w14:textId="77777777">
        <w:tblPrEx>
          <w:tblCellMar>
            <w:top w:w="0" w:type="dxa"/>
            <w:bottom w:w="0" w:type="dxa"/>
          </w:tblCellMar>
        </w:tblPrEx>
        <w:tc>
          <w:tcPr>
            <w:tcW w:w="2800" w:type="dxa"/>
            <w:tcBorders>
              <w:top w:val="single" w:sz="4" w:space="0" w:color="CCCCCC"/>
              <w:left w:val="single" w:sz="4" w:space="0" w:color="CCCCCC"/>
              <w:bottom w:val="single" w:sz="4" w:space="0" w:color="CCCCCC"/>
              <w:right w:val="single" w:sz="4" w:space="0" w:color="CCCCCC"/>
            </w:tcBorders>
            <w:shd w:val="clear" w:color="auto" w:fill="F2F7FC"/>
          </w:tcPr>
          <w:p w14:paraId="007DA9AB" w14:textId="77777777" w:rsidR="00F81FB6" w:rsidRDefault="00571C04">
            <w:pPr>
              <w:spacing w:before="60" w:after="60"/>
            </w:pPr>
            <w:r>
              <w:rPr>
                <w:b/>
                <w:bCs/>
                <w:color w:val="2F2F2F"/>
                <w:sz w:val="20"/>
                <w:szCs w:val="20"/>
              </w:rPr>
              <w:t>Financial Stability</w:t>
            </w:r>
          </w:p>
        </w:tc>
        <w:tc>
          <w:tcPr>
            <w:tcW w:w="800" w:type="dxa"/>
            <w:tcBorders>
              <w:top w:val="single" w:sz="4" w:space="0" w:color="CCCCCC"/>
              <w:left w:val="single" w:sz="4" w:space="0" w:color="CCCCCC"/>
              <w:bottom w:val="single" w:sz="4" w:space="0" w:color="CCCCCC"/>
              <w:right w:val="single" w:sz="4" w:space="0" w:color="CCCCCC"/>
            </w:tcBorders>
            <w:shd w:val="clear" w:color="auto" w:fill="F2F7FC"/>
          </w:tcPr>
          <w:p w14:paraId="6FE2C495" w14:textId="77777777" w:rsidR="00F81FB6" w:rsidRDefault="00571C04">
            <w:pPr>
              <w:spacing w:before="60" w:after="60"/>
              <w:jc w:val="center"/>
            </w:pPr>
            <w:r>
              <w:rPr>
                <w:b/>
                <w:bCs/>
                <w:color w:val="1F4E79"/>
                <w:sz w:val="20"/>
                <w:szCs w:val="20"/>
              </w:rPr>
              <w:t>30%</w:t>
            </w:r>
          </w:p>
        </w:tc>
        <w:tc>
          <w:tcPr>
            <w:tcW w:w="900" w:type="dxa"/>
            <w:tcBorders>
              <w:top w:val="single" w:sz="4" w:space="0" w:color="CCCCCC"/>
              <w:left w:val="single" w:sz="4" w:space="0" w:color="CCCCCC"/>
              <w:bottom w:val="single" w:sz="4" w:space="0" w:color="CCCCCC"/>
              <w:right w:val="single" w:sz="4" w:space="0" w:color="CCCCCC"/>
            </w:tcBorders>
            <w:shd w:val="clear" w:color="auto" w:fill="F2F7FC"/>
          </w:tcPr>
          <w:p w14:paraId="699C8290" w14:textId="77777777" w:rsidR="00F81FB6" w:rsidRDefault="00571C04">
            <w:pPr>
              <w:spacing w:before="60" w:after="60"/>
              <w:jc w:val="center"/>
            </w:pPr>
            <w:r>
              <w:rPr>
                <w:color w:val="2F2F2F"/>
                <w:sz w:val="20"/>
                <w:szCs w:val="20"/>
              </w:rPr>
              <w:t>120 pts</w:t>
            </w:r>
          </w:p>
        </w:tc>
        <w:tc>
          <w:tcPr>
            <w:tcW w:w="4860" w:type="dxa"/>
            <w:tcBorders>
              <w:top w:val="single" w:sz="4" w:space="0" w:color="CCCCCC"/>
              <w:left w:val="single" w:sz="4" w:space="0" w:color="CCCCCC"/>
              <w:bottom w:val="single" w:sz="4" w:space="0" w:color="CCCCCC"/>
              <w:right w:val="single" w:sz="4" w:space="0" w:color="CCCCCC"/>
            </w:tcBorders>
            <w:shd w:val="clear" w:color="auto" w:fill="F2F7FC"/>
          </w:tcPr>
          <w:p w14:paraId="3449AC0D" w14:textId="77777777" w:rsidR="00F81FB6" w:rsidRDefault="00571C04">
            <w:pPr>
              <w:spacing w:before="60" w:after="60"/>
            </w:pPr>
            <w:r>
              <w:rPr>
                <w:color w:val="2F2F2F"/>
                <w:sz w:val="20"/>
                <w:szCs w:val="20"/>
              </w:rPr>
              <w:t>Highest impact category; logistics vendors face fuel price volatility, fleet depreciation, tight operating margins, and significant capital requirements for equipment. Strong financial foundation is essential for operational continuity.</w:t>
            </w:r>
          </w:p>
        </w:tc>
      </w:tr>
      <w:tr w:rsidR="00F81FB6" w14:paraId="10210BF6" w14:textId="77777777">
        <w:tblPrEx>
          <w:tblCellMar>
            <w:top w:w="0" w:type="dxa"/>
            <w:bottom w:w="0" w:type="dxa"/>
          </w:tblCellMar>
        </w:tblPrEx>
        <w:tc>
          <w:tcPr>
            <w:tcW w:w="2800" w:type="dxa"/>
            <w:tcBorders>
              <w:top w:val="single" w:sz="4" w:space="0" w:color="CCCCCC"/>
              <w:left w:val="single" w:sz="4" w:space="0" w:color="CCCCCC"/>
              <w:bottom w:val="single" w:sz="4" w:space="0" w:color="CCCCCC"/>
              <w:right w:val="single" w:sz="4" w:space="0" w:color="CCCCCC"/>
            </w:tcBorders>
            <w:shd w:val="clear" w:color="auto" w:fill="FFFFFF"/>
          </w:tcPr>
          <w:p w14:paraId="6334E0CF" w14:textId="77777777" w:rsidR="00F81FB6" w:rsidRDefault="00571C04">
            <w:pPr>
              <w:spacing w:before="60" w:after="60"/>
            </w:pPr>
            <w:r>
              <w:rPr>
                <w:b/>
                <w:bCs/>
                <w:color w:val="2F2F2F"/>
                <w:sz w:val="20"/>
                <w:szCs w:val="20"/>
              </w:rPr>
              <w:t>Safety Performance</w:t>
            </w:r>
          </w:p>
        </w:tc>
        <w:tc>
          <w:tcPr>
            <w:tcW w:w="800" w:type="dxa"/>
            <w:tcBorders>
              <w:top w:val="single" w:sz="4" w:space="0" w:color="CCCCCC"/>
              <w:left w:val="single" w:sz="4" w:space="0" w:color="CCCCCC"/>
              <w:bottom w:val="single" w:sz="4" w:space="0" w:color="CCCCCC"/>
              <w:right w:val="single" w:sz="4" w:space="0" w:color="CCCCCC"/>
            </w:tcBorders>
            <w:shd w:val="clear" w:color="auto" w:fill="FFFFFF"/>
          </w:tcPr>
          <w:p w14:paraId="7EA146E7" w14:textId="77777777" w:rsidR="00F81FB6" w:rsidRDefault="00571C04">
            <w:pPr>
              <w:spacing w:before="60" w:after="60"/>
              <w:jc w:val="center"/>
            </w:pPr>
            <w:r>
              <w:rPr>
                <w:b/>
                <w:bCs/>
                <w:color w:val="1F4E79"/>
                <w:sz w:val="20"/>
                <w:szCs w:val="20"/>
              </w:rPr>
              <w:t>20%</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Pr>
          <w:p w14:paraId="0C2A06BB" w14:textId="77777777" w:rsidR="00F81FB6" w:rsidRDefault="00571C04">
            <w:pPr>
              <w:spacing w:before="60" w:after="60"/>
              <w:jc w:val="center"/>
            </w:pPr>
            <w:r>
              <w:rPr>
                <w:color w:val="2F2F2F"/>
                <w:sz w:val="20"/>
                <w:szCs w:val="20"/>
              </w:rPr>
              <w:t>80 pts</w:t>
            </w:r>
          </w:p>
        </w:tc>
        <w:tc>
          <w:tcPr>
            <w:tcW w:w="4860" w:type="dxa"/>
            <w:tcBorders>
              <w:top w:val="single" w:sz="4" w:space="0" w:color="CCCCCC"/>
              <w:left w:val="single" w:sz="4" w:space="0" w:color="CCCCCC"/>
              <w:bottom w:val="single" w:sz="4" w:space="0" w:color="CCCCCC"/>
              <w:right w:val="single" w:sz="4" w:space="0" w:color="CCCCCC"/>
            </w:tcBorders>
            <w:shd w:val="clear" w:color="auto" w:fill="FFFFFF"/>
          </w:tcPr>
          <w:p w14:paraId="4350DC52" w14:textId="77777777" w:rsidR="00F81FB6" w:rsidRDefault="00571C04">
            <w:pPr>
              <w:spacing w:before="60" w:after="60"/>
            </w:pPr>
            <w:r>
              <w:rPr>
                <w:color w:val="2F2F2F"/>
                <w:sz w:val="20"/>
                <w:szCs w:val="20"/>
              </w:rPr>
              <w:t>Critical for DOT/FMCSA compliance, driver safety, warehouse operations, and cargo protection. Safety metrics directly affect insurance costs, operating authority, and WWRGD liability exposure.</w:t>
            </w:r>
          </w:p>
        </w:tc>
      </w:tr>
      <w:tr w:rsidR="00F81FB6" w14:paraId="384CDAA4" w14:textId="77777777">
        <w:tblPrEx>
          <w:tblCellMar>
            <w:top w:w="0" w:type="dxa"/>
            <w:bottom w:w="0" w:type="dxa"/>
          </w:tblCellMar>
        </w:tblPrEx>
        <w:tc>
          <w:tcPr>
            <w:tcW w:w="2800" w:type="dxa"/>
            <w:tcBorders>
              <w:top w:val="single" w:sz="4" w:space="0" w:color="CCCCCC"/>
              <w:left w:val="single" w:sz="4" w:space="0" w:color="CCCCCC"/>
              <w:bottom w:val="single" w:sz="4" w:space="0" w:color="CCCCCC"/>
              <w:right w:val="single" w:sz="4" w:space="0" w:color="CCCCCC"/>
            </w:tcBorders>
            <w:shd w:val="clear" w:color="auto" w:fill="F2F7FC"/>
          </w:tcPr>
          <w:p w14:paraId="5ED48B7F" w14:textId="77777777" w:rsidR="00F81FB6" w:rsidRDefault="00571C04">
            <w:pPr>
              <w:spacing w:before="60" w:after="60"/>
            </w:pPr>
            <w:r>
              <w:rPr>
                <w:b/>
                <w:bCs/>
                <w:color w:val="2F2F2F"/>
                <w:sz w:val="20"/>
                <w:szCs w:val="20"/>
              </w:rPr>
              <w:t>Quality / Performance History</w:t>
            </w:r>
          </w:p>
        </w:tc>
        <w:tc>
          <w:tcPr>
            <w:tcW w:w="800" w:type="dxa"/>
            <w:tcBorders>
              <w:top w:val="single" w:sz="4" w:space="0" w:color="CCCCCC"/>
              <w:left w:val="single" w:sz="4" w:space="0" w:color="CCCCCC"/>
              <w:bottom w:val="single" w:sz="4" w:space="0" w:color="CCCCCC"/>
              <w:right w:val="single" w:sz="4" w:space="0" w:color="CCCCCC"/>
            </w:tcBorders>
            <w:shd w:val="clear" w:color="auto" w:fill="F2F7FC"/>
          </w:tcPr>
          <w:p w14:paraId="1AF86AA5" w14:textId="77777777" w:rsidR="00F81FB6" w:rsidRDefault="00571C04">
            <w:pPr>
              <w:spacing w:before="60" w:after="60"/>
              <w:jc w:val="center"/>
            </w:pPr>
            <w:r>
              <w:rPr>
                <w:b/>
                <w:bCs/>
                <w:color w:val="1F4E79"/>
                <w:sz w:val="20"/>
                <w:szCs w:val="20"/>
              </w:rPr>
              <w:t>20%</w:t>
            </w:r>
          </w:p>
        </w:tc>
        <w:tc>
          <w:tcPr>
            <w:tcW w:w="900" w:type="dxa"/>
            <w:tcBorders>
              <w:top w:val="single" w:sz="4" w:space="0" w:color="CCCCCC"/>
              <w:left w:val="single" w:sz="4" w:space="0" w:color="CCCCCC"/>
              <w:bottom w:val="single" w:sz="4" w:space="0" w:color="CCCCCC"/>
              <w:right w:val="single" w:sz="4" w:space="0" w:color="CCCCCC"/>
            </w:tcBorders>
            <w:shd w:val="clear" w:color="auto" w:fill="F2F7FC"/>
          </w:tcPr>
          <w:p w14:paraId="471FF7CF" w14:textId="77777777" w:rsidR="00F81FB6" w:rsidRDefault="00571C04">
            <w:pPr>
              <w:spacing w:before="60" w:after="60"/>
              <w:jc w:val="center"/>
            </w:pPr>
            <w:r>
              <w:rPr>
                <w:color w:val="2F2F2F"/>
                <w:sz w:val="20"/>
                <w:szCs w:val="20"/>
              </w:rPr>
              <w:t>80 pts</w:t>
            </w:r>
          </w:p>
        </w:tc>
        <w:tc>
          <w:tcPr>
            <w:tcW w:w="4860" w:type="dxa"/>
            <w:tcBorders>
              <w:top w:val="single" w:sz="4" w:space="0" w:color="CCCCCC"/>
              <w:left w:val="single" w:sz="4" w:space="0" w:color="CCCCCC"/>
              <w:bottom w:val="single" w:sz="4" w:space="0" w:color="CCCCCC"/>
              <w:right w:val="single" w:sz="4" w:space="0" w:color="CCCCCC"/>
            </w:tcBorders>
            <w:shd w:val="clear" w:color="auto" w:fill="F2F7FC"/>
          </w:tcPr>
          <w:p w14:paraId="30729F0F" w14:textId="77777777" w:rsidR="00F81FB6" w:rsidRDefault="00571C04">
            <w:pPr>
              <w:spacing w:before="60" w:after="60"/>
            </w:pPr>
            <w:r>
              <w:rPr>
                <w:color w:val="2F2F2F"/>
                <w:sz w:val="20"/>
                <w:szCs w:val="20"/>
              </w:rPr>
              <w:t>Direct indicator of on-time delivery rates, freight damage and loss rates, inventory accuracy, fulfillment performance, and claims resolution. Past performance is the strongest predictor of future reliability.</w:t>
            </w:r>
          </w:p>
        </w:tc>
      </w:tr>
      <w:tr w:rsidR="00F81FB6" w14:paraId="2812E777" w14:textId="77777777">
        <w:tblPrEx>
          <w:tblCellMar>
            <w:top w:w="0" w:type="dxa"/>
            <w:bottom w:w="0" w:type="dxa"/>
          </w:tblCellMar>
        </w:tblPrEx>
        <w:tc>
          <w:tcPr>
            <w:tcW w:w="2800" w:type="dxa"/>
            <w:tcBorders>
              <w:top w:val="single" w:sz="4" w:space="0" w:color="CCCCCC"/>
              <w:left w:val="single" w:sz="4" w:space="0" w:color="CCCCCC"/>
              <w:bottom w:val="single" w:sz="4" w:space="0" w:color="CCCCCC"/>
              <w:right w:val="single" w:sz="4" w:space="0" w:color="CCCCCC"/>
            </w:tcBorders>
            <w:shd w:val="clear" w:color="auto" w:fill="FFFFFF"/>
          </w:tcPr>
          <w:p w14:paraId="776C9766" w14:textId="77777777" w:rsidR="00F81FB6" w:rsidRDefault="00571C04">
            <w:pPr>
              <w:spacing w:before="60" w:after="60"/>
            </w:pPr>
            <w:r>
              <w:rPr>
                <w:b/>
                <w:bCs/>
                <w:color w:val="2F2F2F"/>
                <w:sz w:val="20"/>
                <w:szCs w:val="20"/>
              </w:rPr>
              <w:t>Operational Capacity</w:t>
            </w:r>
          </w:p>
        </w:tc>
        <w:tc>
          <w:tcPr>
            <w:tcW w:w="800" w:type="dxa"/>
            <w:tcBorders>
              <w:top w:val="single" w:sz="4" w:space="0" w:color="CCCCCC"/>
              <w:left w:val="single" w:sz="4" w:space="0" w:color="CCCCCC"/>
              <w:bottom w:val="single" w:sz="4" w:space="0" w:color="CCCCCC"/>
              <w:right w:val="single" w:sz="4" w:space="0" w:color="CCCCCC"/>
            </w:tcBorders>
            <w:shd w:val="clear" w:color="auto" w:fill="FFFFFF"/>
          </w:tcPr>
          <w:p w14:paraId="1BF90B62" w14:textId="77777777" w:rsidR="00F81FB6" w:rsidRDefault="00571C04">
            <w:pPr>
              <w:spacing w:before="60" w:after="60"/>
              <w:jc w:val="center"/>
            </w:pPr>
            <w:r>
              <w:rPr>
                <w:b/>
                <w:bCs/>
                <w:color w:val="1F4E79"/>
                <w:sz w:val="20"/>
                <w:szCs w:val="20"/>
              </w:rPr>
              <w:t>20%</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Pr>
          <w:p w14:paraId="3C3674A9" w14:textId="77777777" w:rsidR="00F81FB6" w:rsidRDefault="00571C04">
            <w:pPr>
              <w:spacing w:before="60" w:after="60"/>
              <w:jc w:val="center"/>
            </w:pPr>
            <w:r>
              <w:rPr>
                <w:color w:val="2F2F2F"/>
                <w:sz w:val="20"/>
                <w:szCs w:val="20"/>
              </w:rPr>
              <w:t>80 pts</w:t>
            </w:r>
          </w:p>
        </w:tc>
        <w:tc>
          <w:tcPr>
            <w:tcW w:w="4860" w:type="dxa"/>
            <w:tcBorders>
              <w:top w:val="single" w:sz="4" w:space="0" w:color="CCCCCC"/>
              <w:left w:val="single" w:sz="4" w:space="0" w:color="CCCCCC"/>
              <w:bottom w:val="single" w:sz="4" w:space="0" w:color="CCCCCC"/>
              <w:right w:val="single" w:sz="4" w:space="0" w:color="CCCCCC"/>
            </w:tcBorders>
            <w:shd w:val="clear" w:color="auto" w:fill="FFFFFF"/>
          </w:tcPr>
          <w:p w14:paraId="10264ADE" w14:textId="77777777" w:rsidR="00F81FB6" w:rsidRDefault="00571C04">
            <w:pPr>
              <w:spacing w:before="60" w:after="60"/>
            </w:pPr>
            <w:r>
              <w:rPr>
                <w:color w:val="2F2F2F"/>
                <w:sz w:val="20"/>
                <w:szCs w:val="20"/>
              </w:rPr>
              <w:t>Fleet size, warehouse capacity, seasonal scalability for peak periods, driver pool depth, geographic coverage, cold chain infrastructure, and contingency carrier relationships.</w:t>
            </w:r>
          </w:p>
        </w:tc>
      </w:tr>
      <w:tr w:rsidR="00F81FB6" w14:paraId="76205403" w14:textId="77777777">
        <w:tblPrEx>
          <w:tblCellMar>
            <w:top w:w="0" w:type="dxa"/>
            <w:bottom w:w="0" w:type="dxa"/>
          </w:tblCellMar>
        </w:tblPrEx>
        <w:tc>
          <w:tcPr>
            <w:tcW w:w="2800" w:type="dxa"/>
            <w:tcBorders>
              <w:top w:val="single" w:sz="4" w:space="0" w:color="CCCCCC"/>
              <w:left w:val="single" w:sz="4" w:space="0" w:color="CCCCCC"/>
              <w:bottom w:val="single" w:sz="4" w:space="0" w:color="CCCCCC"/>
              <w:right w:val="single" w:sz="4" w:space="0" w:color="CCCCCC"/>
            </w:tcBorders>
            <w:shd w:val="clear" w:color="auto" w:fill="F2F7FC"/>
          </w:tcPr>
          <w:p w14:paraId="78467846" w14:textId="77777777" w:rsidR="00F81FB6" w:rsidRDefault="00571C04">
            <w:pPr>
              <w:spacing w:before="60" w:after="60"/>
            </w:pPr>
            <w:r>
              <w:rPr>
                <w:b/>
                <w:bCs/>
                <w:color w:val="2F2F2F"/>
                <w:sz w:val="20"/>
                <w:szCs w:val="20"/>
              </w:rPr>
              <w:t>Compliance Record</w:t>
            </w:r>
          </w:p>
        </w:tc>
        <w:tc>
          <w:tcPr>
            <w:tcW w:w="800" w:type="dxa"/>
            <w:tcBorders>
              <w:top w:val="single" w:sz="4" w:space="0" w:color="CCCCCC"/>
              <w:left w:val="single" w:sz="4" w:space="0" w:color="CCCCCC"/>
              <w:bottom w:val="single" w:sz="4" w:space="0" w:color="CCCCCC"/>
              <w:right w:val="single" w:sz="4" w:space="0" w:color="CCCCCC"/>
            </w:tcBorders>
            <w:shd w:val="clear" w:color="auto" w:fill="F2F7FC"/>
          </w:tcPr>
          <w:p w14:paraId="42811089" w14:textId="77777777" w:rsidR="00F81FB6" w:rsidRDefault="00571C04">
            <w:pPr>
              <w:spacing w:before="60" w:after="60"/>
              <w:jc w:val="center"/>
            </w:pPr>
            <w:r>
              <w:rPr>
                <w:b/>
                <w:bCs/>
                <w:color w:val="1F4E79"/>
                <w:sz w:val="20"/>
                <w:szCs w:val="20"/>
              </w:rPr>
              <w:t>10%</w:t>
            </w:r>
          </w:p>
        </w:tc>
        <w:tc>
          <w:tcPr>
            <w:tcW w:w="900" w:type="dxa"/>
            <w:tcBorders>
              <w:top w:val="single" w:sz="4" w:space="0" w:color="CCCCCC"/>
              <w:left w:val="single" w:sz="4" w:space="0" w:color="CCCCCC"/>
              <w:bottom w:val="single" w:sz="4" w:space="0" w:color="CCCCCC"/>
              <w:right w:val="single" w:sz="4" w:space="0" w:color="CCCCCC"/>
            </w:tcBorders>
            <w:shd w:val="clear" w:color="auto" w:fill="F2F7FC"/>
          </w:tcPr>
          <w:p w14:paraId="6C644264" w14:textId="77777777" w:rsidR="00F81FB6" w:rsidRDefault="00571C04">
            <w:pPr>
              <w:spacing w:before="60" w:after="60"/>
              <w:jc w:val="center"/>
            </w:pPr>
            <w:r>
              <w:rPr>
                <w:color w:val="2F2F2F"/>
                <w:sz w:val="20"/>
                <w:szCs w:val="20"/>
              </w:rPr>
              <w:t>20 pts</w:t>
            </w:r>
          </w:p>
        </w:tc>
        <w:tc>
          <w:tcPr>
            <w:tcW w:w="4860" w:type="dxa"/>
            <w:tcBorders>
              <w:top w:val="single" w:sz="4" w:space="0" w:color="CCCCCC"/>
              <w:left w:val="single" w:sz="4" w:space="0" w:color="CCCCCC"/>
              <w:bottom w:val="single" w:sz="4" w:space="0" w:color="CCCCCC"/>
              <w:right w:val="single" w:sz="4" w:space="0" w:color="CCCCCC"/>
            </w:tcBorders>
            <w:shd w:val="clear" w:color="auto" w:fill="F2F7FC"/>
          </w:tcPr>
          <w:p w14:paraId="5D53E260" w14:textId="77777777" w:rsidR="00F81FB6" w:rsidRDefault="00571C04">
            <w:pPr>
              <w:spacing w:before="60" w:after="60"/>
            </w:pPr>
            <w:r>
              <w:rPr>
                <w:color w:val="2F2F2F"/>
                <w:sz w:val="20"/>
                <w:szCs w:val="20"/>
              </w:rPr>
              <w:t>FMCSA/DOT/OSHA/EPA regulatory compliance, food safety certifications, customs and trade compliance, SmartWay participation, and C-TPAT certification for cross-border logistics.</w:t>
            </w:r>
          </w:p>
        </w:tc>
      </w:tr>
      <w:tr w:rsidR="00F81FB6" w14:paraId="3893D846" w14:textId="77777777">
        <w:tblPrEx>
          <w:tblCellMar>
            <w:top w:w="0" w:type="dxa"/>
            <w:bottom w:w="0" w:type="dxa"/>
          </w:tblCellMar>
        </w:tblPrEx>
        <w:tc>
          <w:tcPr>
            <w:tcW w:w="2800" w:type="dxa"/>
            <w:tcBorders>
              <w:top w:val="single" w:sz="4" w:space="0" w:color="CCCCCC"/>
              <w:left w:val="single" w:sz="4" w:space="0" w:color="CCCCCC"/>
              <w:bottom w:val="single" w:sz="4" w:space="0" w:color="CCCCCC"/>
              <w:right w:val="single" w:sz="4" w:space="0" w:color="CCCCCC"/>
            </w:tcBorders>
            <w:shd w:val="clear" w:color="auto" w:fill="FFFFFF"/>
          </w:tcPr>
          <w:p w14:paraId="514400CF" w14:textId="77777777" w:rsidR="00F81FB6" w:rsidRDefault="00571C04">
            <w:pPr>
              <w:spacing w:before="60" w:after="60"/>
            </w:pPr>
            <w:r>
              <w:rPr>
                <w:b/>
                <w:bCs/>
                <w:color w:val="2F2F2F"/>
                <w:sz w:val="20"/>
                <w:szCs w:val="20"/>
              </w:rPr>
              <w:lastRenderedPageBreak/>
              <w:t>Technology Capabilities</w:t>
            </w:r>
          </w:p>
        </w:tc>
        <w:tc>
          <w:tcPr>
            <w:tcW w:w="800" w:type="dxa"/>
            <w:tcBorders>
              <w:top w:val="single" w:sz="4" w:space="0" w:color="CCCCCC"/>
              <w:left w:val="single" w:sz="4" w:space="0" w:color="CCCCCC"/>
              <w:bottom w:val="single" w:sz="4" w:space="0" w:color="CCCCCC"/>
              <w:right w:val="single" w:sz="4" w:space="0" w:color="CCCCCC"/>
            </w:tcBorders>
            <w:shd w:val="clear" w:color="auto" w:fill="FFFFFF"/>
          </w:tcPr>
          <w:p w14:paraId="38DFD9A5" w14:textId="77777777" w:rsidR="00F81FB6" w:rsidRDefault="00571C04">
            <w:pPr>
              <w:spacing w:before="60" w:after="60"/>
              <w:jc w:val="center"/>
            </w:pPr>
            <w:r>
              <w:rPr>
                <w:b/>
                <w:bCs/>
                <w:color w:val="1F4E79"/>
                <w:sz w:val="20"/>
                <w:szCs w:val="20"/>
              </w:rPr>
              <w:t>10%</w:t>
            </w:r>
          </w:p>
        </w:tc>
        <w:tc>
          <w:tcPr>
            <w:tcW w:w="900" w:type="dxa"/>
            <w:tcBorders>
              <w:top w:val="single" w:sz="4" w:space="0" w:color="CCCCCC"/>
              <w:left w:val="single" w:sz="4" w:space="0" w:color="CCCCCC"/>
              <w:bottom w:val="single" w:sz="4" w:space="0" w:color="CCCCCC"/>
              <w:right w:val="single" w:sz="4" w:space="0" w:color="CCCCCC"/>
            </w:tcBorders>
            <w:shd w:val="clear" w:color="auto" w:fill="FFFFFF"/>
          </w:tcPr>
          <w:p w14:paraId="7EAD5D9D" w14:textId="77777777" w:rsidR="00F81FB6" w:rsidRDefault="00571C04">
            <w:pPr>
              <w:spacing w:before="60" w:after="60"/>
              <w:jc w:val="center"/>
            </w:pPr>
            <w:r>
              <w:rPr>
                <w:color w:val="2F2F2F"/>
                <w:sz w:val="20"/>
                <w:szCs w:val="20"/>
              </w:rPr>
              <w:t>20 pts</w:t>
            </w:r>
          </w:p>
        </w:tc>
        <w:tc>
          <w:tcPr>
            <w:tcW w:w="4860" w:type="dxa"/>
            <w:tcBorders>
              <w:top w:val="single" w:sz="4" w:space="0" w:color="CCCCCC"/>
              <w:left w:val="single" w:sz="4" w:space="0" w:color="CCCCCC"/>
              <w:bottom w:val="single" w:sz="4" w:space="0" w:color="CCCCCC"/>
              <w:right w:val="single" w:sz="4" w:space="0" w:color="CCCCCC"/>
            </w:tcBorders>
            <w:shd w:val="clear" w:color="auto" w:fill="FFFFFF"/>
          </w:tcPr>
          <w:p w14:paraId="5BED4599" w14:textId="77777777" w:rsidR="00F81FB6" w:rsidRDefault="00571C04">
            <w:pPr>
              <w:spacing w:before="60" w:after="60"/>
            </w:pPr>
            <w:r>
              <w:rPr>
                <w:color w:val="2F2F2F"/>
                <w:sz w:val="20"/>
                <w:szCs w:val="20"/>
              </w:rPr>
              <w:t>TMS, WMS, GPS real-time tracking, EDI compliance, telematics, cold chain IoT monitoring, ePOD capabilities, yard management, and Coupa integration readiness.</w:t>
            </w:r>
          </w:p>
        </w:tc>
      </w:tr>
      <w:tr w:rsidR="00F81FB6" w14:paraId="45C61B2D" w14:textId="77777777">
        <w:tblPrEx>
          <w:tblCellMar>
            <w:top w:w="0" w:type="dxa"/>
            <w:bottom w:w="0" w:type="dxa"/>
          </w:tblCellMar>
        </w:tblPrEx>
        <w:tc>
          <w:tcPr>
            <w:tcW w:w="2800" w:type="dxa"/>
            <w:tcBorders>
              <w:top w:val="single" w:sz="4" w:space="0" w:color="CCCCCC"/>
              <w:left w:val="single" w:sz="4" w:space="0" w:color="CCCCCC"/>
              <w:bottom w:val="single" w:sz="4" w:space="0" w:color="CCCCCC"/>
              <w:right w:val="single" w:sz="4" w:space="0" w:color="CCCCCC"/>
            </w:tcBorders>
            <w:shd w:val="clear" w:color="auto" w:fill="1F4E79"/>
          </w:tcPr>
          <w:p w14:paraId="1ADCB92B" w14:textId="77777777" w:rsidR="00F81FB6" w:rsidRDefault="00571C04">
            <w:pPr>
              <w:spacing w:before="60" w:after="60"/>
              <w:jc w:val="right"/>
            </w:pPr>
            <w:r>
              <w:rPr>
                <w:b/>
                <w:bCs/>
                <w:color w:val="FFFFFF"/>
                <w:sz w:val="20"/>
                <w:szCs w:val="20"/>
              </w:rPr>
              <w:t>TOTAL</w:t>
            </w:r>
          </w:p>
        </w:tc>
        <w:tc>
          <w:tcPr>
            <w:tcW w:w="800" w:type="dxa"/>
            <w:tcBorders>
              <w:top w:val="single" w:sz="4" w:space="0" w:color="CCCCCC"/>
              <w:left w:val="single" w:sz="4" w:space="0" w:color="CCCCCC"/>
              <w:bottom w:val="single" w:sz="4" w:space="0" w:color="CCCCCC"/>
              <w:right w:val="single" w:sz="4" w:space="0" w:color="CCCCCC"/>
            </w:tcBorders>
            <w:shd w:val="clear" w:color="auto" w:fill="1F4E79"/>
          </w:tcPr>
          <w:p w14:paraId="20B861E4" w14:textId="77777777" w:rsidR="00F81FB6" w:rsidRDefault="00571C04">
            <w:pPr>
              <w:spacing w:before="60" w:after="60"/>
              <w:jc w:val="center"/>
            </w:pPr>
            <w:r>
              <w:rPr>
                <w:b/>
                <w:bCs/>
                <w:color w:val="FFFFFF"/>
                <w:sz w:val="20"/>
                <w:szCs w:val="20"/>
              </w:rPr>
              <w:t>100%</w:t>
            </w:r>
          </w:p>
        </w:tc>
        <w:tc>
          <w:tcPr>
            <w:tcW w:w="900" w:type="dxa"/>
            <w:tcBorders>
              <w:top w:val="single" w:sz="4" w:space="0" w:color="CCCCCC"/>
              <w:left w:val="single" w:sz="4" w:space="0" w:color="CCCCCC"/>
              <w:bottom w:val="single" w:sz="4" w:space="0" w:color="CCCCCC"/>
              <w:right w:val="single" w:sz="4" w:space="0" w:color="CCCCCC"/>
            </w:tcBorders>
            <w:shd w:val="clear" w:color="auto" w:fill="1F4E79"/>
          </w:tcPr>
          <w:p w14:paraId="5C90354D" w14:textId="77777777" w:rsidR="00F81FB6" w:rsidRDefault="00571C04">
            <w:pPr>
              <w:spacing w:before="60" w:after="60"/>
              <w:jc w:val="center"/>
            </w:pPr>
            <w:r>
              <w:rPr>
                <w:b/>
                <w:bCs/>
                <w:color w:val="FFFFFF"/>
                <w:sz w:val="20"/>
                <w:szCs w:val="20"/>
              </w:rPr>
              <w:t>400 pts</w:t>
            </w:r>
          </w:p>
        </w:tc>
        <w:tc>
          <w:tcPr>
            <w:tcW w:w="4860" w:type="dxa"/>
            <w:tcBorders>
              <w:top w:val="single" w:sz="4" w:space="0" w:color="CCCCCC"/>
              <w:left w:val="single" w:sz="4" w:space="0" w:color="CCCCCC"/>
              <w:bottom w:val="single" w:sz="4" w:space="0" w:color="CCCCCC"/>
              <w:right w:val="single" w:sz="4" w:space="0" w:color="CCCCCC"/>
            </w:tcBorders>
            <w:shd w:val="clear" w:color="auto" w:fill="1F4E79"/>
          </w:tcPr>
          <w:p w14:paraId="2359C422" w14:textId="77777777" w:rsidR="00F81FB6" w:rsidRDefault="00571C04">
            <w:pPr>
              <w:spacing w:before="60" w:after="60"/>
            </w:pPr>
            <w:r>
              <w:rPr>
                <w:color w:val="BDD7EE"/>
                <w:sz w:val="20"/>
                <w:szCs w:val="20"/>
              </w:rPr>
              <w:t>Composite score determines risk tier per Section D thresholds</w:t>
            </w:r>
          </w:p>
        </w:tc>
      </w:tr>
    </w:tbl>
    <w:p w14:paraId="5C0D6A7B" w14:textId="77777777" w:rsidR="00F81FB6" w:rsidRDefault="00F81FB6">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81FB6" w14:paraId="78BB8875"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4E79"/>
          </w:tcPr>
          <w:p w14:paraId="09BAE86C" w14:textId="77777777" w:rsidR="00F81FB6" w:rsidRDefault="00571C04">
            <w:pPr>
              <w:pStyle w:val="SectionHeader"/>
              <w:spacing w:before="120" w:after="40"/>
              <w:ind w:left="160"/>
            </w:pPr>
            <w:r>
              <w:t>SECTION C</w:t>
            </w:r>
          </w:p>
          <w:p w14:paraId="627334C0" w14:textId="77777777" w:rsidR="00F81FB6" w:rsidRDefault="00571C04">
            <w:pPr>
              <w:spacing w:after="120"/>
              <w:ind w:left="160"/>
            </w:pPr>
            <w:r>
              <w:rPr>
                <w:i/>
                <w:iCs/>
                <w:color w:val="BDD7EE"/>
                <w:sz w:val="19"/>
                <w:szCs w:val="19"/>
              </w:rPr>
              <w:t>Detailed Scoring Rubrics — Logistics-Specific (1–4 Scale)</w:t>
            </w:r>
          </w:p>
        </w:tc>
      </w:tr>
    </w:tbl>
    <w:p w14:paraId="4D6EE11F" w14:textId="77777777" w:rsidR="00F81FB6" w:rsidRDefault="00F81FB6">
      <w:pPr>
        <w:spacing w:after="120"/>
      </w:pPr>
    </w:p>
    <w:p w14:paraId="31BF3C67" w14:textId="77777777" w:rsidR="00F81FB6" w:rsidRDefault="00571C04">
      <w:pPr>
        <w:pStyle w:val="BodyText"/>
      </w:pPr>
      <w:r>
        <w:t>Score each vendor on the 1–4 scale for each category. Scores must be backed by evidence from the vendor's completed Logistics Vendor RFI. All rubric criteria are calibrated to logistics, freight, transportation, and warehousing industry benchmarks.</w:t>
      </w:r>
    </w:p>
    <w:p w14:paraId="107D029A" w14:textId="77777777" w:rsidR="00F81FB6" w:rsidRDefault="00F81FB6"/>
    <w:p w14:paraId="26D996DA" w14:textId="77777777" w:rsidR="00F81FB6" w:rsidRDefault="00571C04">
      <w:pPr>
        <w:pStyle w:val="SubHeader"/>
      </w:pPr>
      <w:r>
        <w:t>C.1  F</w:t>
      </w:r>
      <w:r>
        <w:t>inancial Stability  —  30% Weight  ·  100 Points Maximum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1000"/>
        <w:gridCol w:w="7660"/>
      </w:tblGrid>
      <w:tr w:rsidR="00F81FB6" w14:paraId="462A0767" w14:textId="77777777">
        <w:tblPrEx>
          <w:tblCellMar>
            <w:top w:w="0" w:type="dxa"/>
            <w:bottom w:w="0" w:type="dxa"/>
          </w:tblCellMar>
        </w:tblPrEx>
        <w:trPr>
          <w:tblHeader/>
        </w:trPr>
        <w:tc>
          <w:tcPr>
            <w:tcW w:w="700" w:type="dxa"/>
            <w:tcBorders>
              <w:top w:val="single" w:sz="4" w:space="0" w:color="CCCCCC"/>
              <w:left w:val="single" w:sz="4" w:space="0" w:color="CCCCCC"/>
              <w:bottom w:val="single" w:sz="4" w:space="0" w:color="CCCCCC"/>
              <w:right w:val="single" w:sz="4" w:space="0" w:color="CCCCCC"/>
            </w:tcBorders>
            <w:shd w:val="clear" w:color="auto" w:fill="1F4E79"/>
            <w:vAlign w:val="center"/>
          </w:tcPr>
          <w:p w14:paraId="047CF8EC" w14:textId="77777777" w:rsidR="00F81FB6" w:rsidRDefault="00571C04">
            <w:pPr>
              <w:spacing w:before="60" w:after="60"/>
              <w:jc w:val="center"/>
            </w:pPr>
            <w:r>
              <w:rPr>
                <w:b/>
                <w:bCs/>
                <w:color w:val="FFFFFF"/>
                <w:sz w:val="20"/>
                <w:szCs w:val="20"/>
              </w:rPr>
              <w:t>Score</w:t>
            </w:r>
          </w:p>
        </w:tc>
        <w:tc>
          <w:tcPr>
            <w:tcW w:w="1000" w:type="dxa"/>
            <w:tcBorders>
              <w:top w:val="single" w:sz="4" w:space="0" w:color="CCCCCC"/>
              <w:left w:val="single" w:sz="4" w:space="0" w:color="CCCCCC"/>
              <w:bottom w:val="single" w:sz="4" w:space="0" w:color="CCCCCC"/>
              <w:right w:val="single" w:sz="4" w:space="0" w:color="CCCCCC"/>
            </w:tcBorders>
            <w:shd w:val="clear" w:color="auto" w:fill="1F4E79"/>
            <w:vAlign w:val="center"/>
          </w:tcPr>
          <w:p w14:paraId="49663366" w14:textId="77777777" w:rsidR="00F81FB6" w:rsidRDefault="00571C04">
            <w:pPr>
              <w:spacing w:before="60" w:after="60"/>
              <w:jc w:val="center"/>
            </w:pPr>
            <w:r>
              <w:rPr>
                <w:b/>
                <w:bCs/>
                <w:color w:val="FFFFFF"/>
                <w:sz w:val="20"/>
                <w:szCs w:val="20"/>
              </w:rPr>
              <w:t>Level</w:t>
            </w:r>
          </w:p>
        </w:tc>
        <w:tc>
          <w:tcPr>
            <w:tcW w:w="7660" w:type="dxa"/>
            <w:tcBorders>
              <w:top w:val="single" w:sz="4" w:space="0" w:color="CCCCCC"/>
              <w:left w:val="single" w:sz="4" w:space="0" w:color="CCCCCC"/>
              <w:bottom w:val="single" w:sz="4" w:space="0" w:color="CCCCCC"/>
              <w:right w:val="single" w:sz="4" w:space="0" w:color="CCCCCC"/>
            </w:tcBorders>
            <w:shd w:val="clear" w:color="auto" w:fill="1F4E79"/>
            <w:vAlign w:val="center"/>
          </w:tcPr>
          <w:p w14:paraId="70CEBCB3" w14:textId="77777777" w:rsidR="00F81FB6" w:rsidRDefault="00571C04">
            <w:pPr>
              <w:spacing w:before="60" w:after="60"/>
              <w:jc w:val="center"/>
            </w:pPr>
            <w:r>
              <w:rPr>
                <w:b/>
                <w:bCs/>
                <w:color w:val="FFFFFF"/>
                <w:sz w:val="20"/>
                <w:szCs w:val="20"/>
              </w:rPr>
              <w:t>Criteria — Financial Stability (25% · 100 pts)</w:t>
            </w:r>
          </w:p>
        </w:tc>
      </w:tr>
      <w:tr w:rsidR="00F81FB6" w14:paraId="6D124B11"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E8F5E9"/>
            <w:vAlign w:val="center"/>
          </w:tcPr>
          <w:p w14:paraId="556AD54E" w14:textId="77777777" w:rsidR="00F81FB6" w:rsidRDefault="00571C04">
            <w:pPr>
              <w:spacing w:before="60" w:after="60"/>
              <w:jc w:val="center"/>
            </w:pPr>
            <w:r>
              <w:rPr>
                <w:b/>
                <w:bCs/>
                <w:color w:val="1A7432"/>
                <w:sz w:val="24"/>
                <w:szCs w:val="24"/>
              </w:rPr>
              <w:t>4</w:t>
            </w:r>
          </w:p>
        </w:tc>
        <w:tc>
          <w:tcPr>
            <w:tcW w:w="1000" w:type="dxa"/>
            <w:tcBorders>
              <w:top w:val="single" w:sz="4" w:space="0" w:color="CCCCCC"/>
              <w:left w:val="single" w:sz="4" w:space="0" w:color="CCCCCC"/>
              <w:bottom w:val="single" w:sz="4" w:space="0" w:color="CCCCCC"/>
              <w:right w:val="single" w:sz="4" w:space="0" w:color="CCCCCC"/>
            </w:tcBorders>
            <w:shd w:val="clear" w:color="auto" w:fill="E8F5E9"/>
            <w:vAlign w:val="center"/>
          </w:tcPr>
          <w:p w14:paraId="7E85F7D6" w14:textId="77777777" w:rsidR="00F81FB6" w:rsidRDefault="00571C04">
            <w:pPr>
              <w:spacing w:before="60" w:after="60"/>
              <w:jc w:val="center"/>
            </w:pPr>
            <w:r>
              <w:rPr>
                <w:b/>
                <w:bCs/>
                <w:color w:val="1A7432"/>
                <w:sz w:val="20"/>
                <w:szCs w:val="20"/>
              </w:rPr>
              <w:t>Excellent</w:t>
            </w:r>
          </w:p>
        </w:tc>
        <w:tc>
          <w:tcPr>
            <w:tcW w:w="7660" w:type="dxa"/>
            <w:tcBorders>
              <w:top w:val="single" w:sz="4" w:space="0" w:color="CCCCCC"/>
              <w:left w:val="single" w:sz="4" w:space="0" w:color="CCCCCC"/>
              <w:bottom w:val="single" w:sz="4" w:space="0" w:color="CCCCCC"/>
              <w:right w:val="single" w:sz="4" w:space="0" w:color="CCCCCC"/>
            </w:tcBorders>
            <w:shd w:val="clear" w:color="auto" w:fill="E8F5E9"/>
          </w:tcPr>
          <w:p w14:paraId="7481B929" w14:textId="77777777" w:rsidR="00F81FB6" w:rsidRDefault="00571C04">
            <w:pPr>
              <w:pStyle w:val="ListParagraph"/>
              <w:numPr>
                <w:ilvl w:val="0"/>
                <w:numId w:val="2"/>
              </w:numPr>
              <w:spacing w:after="30"/>
            </w:pPr>
            <w:r>
              <w:rPr>
                <w:sz w:val="19"/>
                <w:szCs w:val="19"/>
              </w:rPr>
              <w:t>Debt-to-Equity (D/E) ratio &lt; 0.5 for all 3 years reviewed</w:t>
            </w:r>
          </w:p>
          <w:p w14:paraId="2FA953CE" w14:textId="77777777" w:rsidR="00F81FB6" w:rsidRDefault="00571C04">
            <w:pPr>
              <w:pStyle w:val="ListParagraph"/>
              <w:numPr>
                <w:ilvl w:val="0"/>
                <w:numId w:val="2"/>
              </w:numPr>
              <w:spacing w:after="30"/>
            </w:pPr>
            <w:r>
              <w:rPr>
                <w:sz w:val="19"/>
                <w:szCs w:val="19"/>
              </w:rPr>
              <w:t>Strong positive operating cash flow documented for all 3 years; no covenant violations or credit downgrades</w:t>
            </w:r>
          </w:p>
          <w:p w14:paraId="0E00CDB2" w14:textId="77777777" w:rsidR="00F81FB6" w:rsidRDefault="00571C04">
            <w:pPr>
              <w:pStyle w:val="ListParagraph"/>
              <w:numPr>
                <w:ilvl w:val="0"/>
                <w:numId w:val="2"/>
              </w:numPr>
              <w:spacing w:after="30"/>
            </w:pPr>
            <w:r>
              <w:rPr>
                <w:sz w:val="19"/>
                <w:szCs w:val="19"/>
              </w:rPr>
              <w:t>Insurance / bond capacity &gt;150% of proposed engagement value; current certificates provided</w:t>
            </w:r>
          </w:p>
          <w:p w14:paraId="4FDFE08F" w14:textId="77777777" w:rsidR="00F81FB6" w:rsidRDefault="00571C04">
            <w:pPr>
              <w:pStyle w:val="ListParagraph"/>
              <w:numPr>
                <w:ilvl w:val="0"/>
                <w:numId w:val="2"/>
              </w:numPr>
              <w:spacing w:after="30"/>
            </w:pPr>
            <w:r>
              <w:rPr>
                <w:sz w:val="19"/>
                <w:szCs w:val="19"/>
              </w:rPr>
              <w:t>Audited financial statements (clean opinion) provided up</w:t>
            </w:r>
            <w:r>
              <w:rPr>
                <w:sz w:val="19"/>
                <w:szCs w:val="19"/>
              </w:rPr>
              <w:t>front; no material audit findings</w:t>
            </w:r>
          </w:p>
          <w:p w14:paraId="5AB69EF2" w14:textId="77777777" w:rsidR="00F81FB6" w:rsidRDefault="00571C04">
            <w:pPr>
              <w:pStyle w:val="ListParagraph"/>
              <w:numPr>
                <w:ilvl w:val="0"/>
                <w:numId w:val="2"/>
              </w:numPr>
              <w:spacing w:after="30"/>
            </w:pPr>
            <w:r>
              <w:rPr>
                <w:sz w:val="19"/>
                <w:szCs w:val="19"/>
              </w:rPr>
              <w:t>Documented fuel hedging strategy or fixed-fuel-cost contracts in place</w:t>
            </w:r>
          </w:p>
          <w:p w14:paraId="2AFC9151" w14:textId="77777777" w:rsidR="00F81FB6" w:rsidRDefault="00571C04">
            <w:pPr>
              <w:pStyle w:val="ListParagraph"/>
              <w:numPr>
                <w:ilvl w:val="0"/>
                <w:numId w:val="2"/>
              </w:numPr>
              <w:spacing w:after="30"/>
            </w:pPr>
            <w:r>
              <w:rPr>
                <w:sz w:val="19"/>
                <w:szCs w:val="19"/>
              </w:rPr>
              <w:t>Fleet ownership &gt;60% (owned vs. leased); no excessive fleet financing debt</w:t>
            </w:r>
          </w:p>
          <w:p w14:paraId="365F9D61" w14:textId="77777777" w:rsidR="00F81FB6" w:rsidRDefault="00571C04">
            <w:pPr>
              <w:pStyle w:val="ListParagraph"/>
              <w:numPr>
                <w:ilvl w:val="0"/>
                <w:numId w:val="2"/>
              </w:numPr>
              <w:spacing w:after="30"/>
            </w:pPr>
            <w:r>
              <w:rPr>
                <w:sz w:val="19"/>
                <w:szCs w:val="19"/>
              </w:rPr>
              <w:t>Revenue diversification across multiple clients (no single client &gt;30% of re</w:t>
            </w:r>
            <w:r>
              <w:rPr>
                <w:sz w:val="19"/>
                <w:szCs w:val="19"/>
              </w:rPr>
              <w:t>venue)</w:t>
            </w:r>
          </w:p>
          <w:p w14:paraId="0D255A9F" w14:textId="77777777" w:rsidR="00F81FB6" w:rsidRDefault="00571C04">
            <w:pPr>
              <w:pStyle w:val="ListParagraph"/>
              <w:numPr>
                <w:ilvl w:val="0"/>
                <w:numId w:val="2"/>
              </w:numPr>
              <w:spacing w:after="30"/>
            </w:pPr>
            <w:r>
              <w:rPr>
                <w:sz w:val="19"/>
                <w:szCs w:val="19"/>
              </w:rPr>
              <w:t>Positive net income for all 3 review years; profitability trend is stable or improving</w:t>
            </w:r>
          </w:p>
        </w:tc>
      </w:tr>
      <w:tr w:rsidR="00F81FB6" w14:paraId="3976183E"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F1F8E9"/>
            <w:vAlign w:val="center"/>
          </w:tcPr>
          <w:p w14:paraId="71D6CC0D" w14:textId="77777777" w:rsidR="00F81FB6" w:rsidRDefault="00571C04">
            <w:pPr>
              <w:spacing w:before="60" w:after="60"/>
              <w:jc w:val="center"/>
            </w:pPr>
            <w:r>
              <w:rPr>
                <w:b/>
                <w:bCs/>
                <w:color w:val="558B2F"/>
                <w:sz w:val="24"/>
                <w:szCs w:val="24"/>
              </w:rPr>
              <w:t>3</w:t>
            </w:r>
          </w:p>
        </w:tc>
        <w:tc>
          <w:tcPr>
            <w:tcW w:w="1000" w:type="dxa"/>
            <w:tcBorders>
              <w:top w:val="single" w:sz="4" w:space="0" w:color="CCCCCC"/>
              <w:left w:val="single" w:sz="4" w:space="0" w:color="CCCCCC"/>
              <w:bottom w:val="single" w:sz="4" w:space="0" w:color="CCCCCC"/>
              <w:right w:val="single" w:sz="4" w:space="0" w:color="CCCCCC"/>
            </w:tcBorders>
            <w:shd w:val="clear" w:color="auto" w:fill="F1F8E9"/>
            <w:vAlign w:val="center"/>
          </w:tcPr>
          <w:p w14:paraId="585EF8BF" w14:textId="77777777" w:rsidR="00F81FB6" w:rsidRDefault="00571C04">
            <w:pPr>
              <w:spacing w:before="60" w:after="60"/>
              <w:jc w:val="center"/>
            </w:pPr>
            <w:r>
              <w:rPr>
                <w:b/>
                <w:bCs/>
                <w:color w:val="558B2F"/>
                <w:sz w:val="20"/>
                <w:szCs w:val="20"/>
              </w:rPr>
              <w:t>Good</w:t>
            </w:r>
          </w:p>
        </w:tc>
        <w:tc>
          <w:tcPr>
            <w:tcW w:w="7660" w:type="dxa"/>
            <w:tcBorders>
              <w:top w:val="single" w:sz="4" w:space="0" w:color="CCCCCC"/>
              <w:left w:val="single" w:sz="4" w:space="0" w:color="CCCCCC"/>
              <w:bottom w:val="single" w:sz="4" w:space="0" w:color="CCCCCC"/>
              <w:right w:val="single" w:sz="4" w:space="0" w:color="CCCCCC"/>
            </w:tcBorders>
            <w:shd w:val="clear" w:color="auto" w:fill="F1F8E9"/>
          </w:tcPr>
          <w:p w14:paraId="4E799220" w14:textId="77777777" w:rsidR="00F81FB6" w:rsidRDefault="00571C04">
            <w:pPr>
              <w:pStyle w:val="ListParagraph"/>
              <w:numPr>
                <w:ilvl w:val="0"/>
                <w:numId w:val="2"/>
              </w:numPr>
              <w:spacing w:after="30"/>
            </w:pPr>
            <w:r>
              <w:rPr>
                <w:sz w:val="19"/>
                <w:szCs w:val="19"/>
              </w:rPr>
              <w:t>D/E ratio 0.5–1.0; positive cash flow with minor fluctuations; no covenant violations</w:t>
            </w:r>
          </w:p>
          <w:p w14:paraId="28E7AE31" w14:textId="77777777" w:rsidR="00F81FB6" w:rsidRDefault="00571C04">
            <w:pPr>
              <w:pStyle w:val="ListParagraph"/>
              <w:numPr>
                <w:ilvl w:val="0"/>
                <w:numId w:val="2"/>
              </w:numPr>
              <w:spacing w:after="30"/>
            </w:pPr>
            <w:r>
              <w:rPr>
                <w:sz w:val="19"/>
                <w:szCs w:val="19"/>
              </w:rPr>
              <w:t>Insurance / bond capacity adequate for engagement scope; certificates current</w:t>
            </w:r>
          </w:p>
          <w:p w14:paraId="5B125C19" w14:textId="77777777" w:rsidR="00F81FB6" w:rsidRDefault="00571C04">
            <w:pPr>
              <w:pStyle w:val="ListParagraph"/>
              <w:numPr>
                <w:ilvl w:val="0"/>
                <w:numId w:val="2"/>
              </w:numPr>
              <w:spacing w:after="30"/>
            </w:pPr>
            <w:r>
              <w:rPr>
                <w:sz w:val="19"/>
                <w:szCs w:val="19"/>
              </w:rPr>
              <w:t>Audited financials with minor findings; clean or qualified opinion with immaterial items</w:t>
            </w:r>
          </w:p>
          <w:p w14:paraId="6A64242A" w14:textId="77777777" w:rsidR="00F81FB6" w:rsidRDefault="00571C04">
            <w:pPr>
              <w:pStyle w:val="ListParagraph"/>
              <w:numPr>
                <w:ilvl w:val="0"/>
                <w:numId w:val="2"/>
              </w:numPr>
              <w:spacing w:after="30"/>
            </w:pPr>
            <w:r>
              <w:rPr>
                <w:sz w:val="19"/>
                <w:szCs w:val="19"/>
              </w:rPr>
              <w:t>Som</w:t>
            </w:r>
            <w:r>
              <w:rPr>
                <w:sz w:val="19"/>
                <w:szCs w:val="19"/>
              </w:rPr>
              <w:t>e fuel cost management strategy in place (e.g., fuel surcharge programs)</w:t>
            </w:r>
          </w:p>
          <w:p w14:paraId="1ECC4D7B" w14:textId="77777777" w:rsidR="00F81FB6" w:rsidRDefault="00571C04">
            <w:pPr>
              <w:pStyle w:val="ListParagraph"/>
              <w:numPr>
                <w:ilvl w:val="0"/>
                <w:numId w:val="2"/>
              </w:numPr>
              <w:spacing w:after="30"/>
            </w:pPr>
            <w:r>
              <w:rPr>
                <w:sz w:val="19"/>
                <w:szCs w:val="19"/>
              </w:rPr>
              <w:t>Fleet ownership 40–60%; manageable lease obligations</w:t>
            </w:r>
          </w:p>
          <w:p w14:paraId="1EC52294" w14:textId="77777777" w:rsidR="00F81FB6" w:rsidRDefault="00571C04">
            <w:pPr>
              <w:pStyle w:val="ListParagraph"/>
              <w:numPr>
                <w:ilvl w:val="0"/>
                <w:numId w:val="2"/>
              </w:numPr>
              <w:spacing w:after="30"/>
            </w:pPr>
            <w:r>
              <w:rPr>
                <w:sz w:val="19"/>
                <w:szCs w:val="19"/>
              </w:rPr>
              <w:t>Moderate revenue diversification; some client concentration but not excessive</w:t>
            </w:r>
          </w:p>
          <w:p w14:paraId="0BCC58C4" w14:textId="77777777" w:rsidR="00F81FB6" w:rsidRDefault="00571C04">
            <w:pPr>
              <w:pStyle w:val="ListParagraph"/>
              <w:numPr>
                <w:ilvl w:val="0"/>
                <w:numId w:val="2"/>
              </w:numPr>
              <w:spacing w:after="30"/>
            </w:pPr>
            <w:r>
              <w:rPr>
                <w:sz w:val="19"/>
                <w:szCs w:val="19"/>
              </w:rPr>
              <w:t>Positive net income for at least 2 of 3 review years</w:t>
            </w:r>
          </w:p>
        </w:tc>
      </w:tr>
      <w:tr w:rsidR="00F81FB6" w14:paraId="4D1776A4"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FFF8E1"/>
            <w:vAlign w:val="center"/>
          </w:tcPr>
          <w:p w14:paraId="028CCF7B" w14:textId="77777777" w:rsidR="00F81FB6" w:rsidRDefault="00571C04">
            <w:pPr>
              <w:spacing w:before="60" w:after="60"/>
              <w:jc w:val="center"/>
            </w:pPr>
            <w:r>
              <w:rPr>
                <w:b/>
                <w:bCs/>
                <w:color w:val="F57F17"/>
                <w:sz w:val="24"/>
                <w:szCs w:val="24"/>
              </w:rPr>
              <w:t>2</w:t>
            </w:r>
          </w:p>
        </w:tc>
        <w:tc>
          <w:tcPr>
            <w:tcW w:w="1000" w:type="dxa"/>
            <w:tcBorders>
              <w:top w:val="single" w:sz="4" w:space="0" w:color="CCCCCC"/>
              <w:left w:val="single" w:sz="4" w:space="0" w:color="CCCCCC"/>
              <w:bottom w:val="single" w:sz="4" w:space="0" w:color="CCCCCC"/>
              <w:right w:val="single" w:sz="4" w:space="0" w:color="CCCCCC"/>
            </w:tcBorders>
            <w:shd w:val="clear" w:color="auto" w:fill="FFF8E1"/>
            <w:vAlign w:val="center"/>
          </w:tcPr>
          <w:p w14:paraId="6F0043B3" w14:textId="77777777" w:rsidR="00F81FB6" w:rsidRDefault="00571C04">
            <w:pPr>
              <w:spacing w:before="60" w:after="60"/>
              <w:jc w:val="center"/>
            </w:pPr>
            <w:r>
              <w:rPr>
                <w:b/>
                <w:bCs/>
                <w:color w:val="F57F17"/>
                <w:sz w:val="20"/>
                <w:szCs w:val="20"/>
              </w:rPr>
              <w:t>Fair</w:t>
            </w:r>
          </w:p>
        </w:tc>
        <w:tc>
          <w:tcPr>
            <w:tcW w:w="7660" w:type="dxa"/>
            <w:tcBorders>
              <w:top w:val="single" w:sz="4" w:space="0" w:color="CCCCCC"/>
              <w:left w:val="single" w:sz="4" w:space="0" w:color="CCCCCC"/>
              <w:bottom w:val="single" w:sz="4" w:space="0" w:color="CCCCCC"/>
              <w:right w:val="single" w:sz="4" w:space="0" w:color="CCCCCC"/>
            </w:tcBorders>
            <w:shd w:val="clear" w:color="auto" w:fill="FFF8E1"/>
          </w:tcPr>
          <w:p w14:paraId="783215B3" w14:textId="77777777" w:rsidR="00F81FB6" w:rsidRDefault="00571C04">
            <w:pPr>
              <w:pStyle w:val="ListParagraph"/>
              <w:numPr>
                <w:ilvl w:val="0"/>
                <w:numId w:val="2"/>
              </w:numPr>
              <w:spacing w:after="30"/>
            </w:pPr>
            <w:r>
              <w:rPr>
                <w:sz w:val="19"/>
                <w:szCs w:val="19"/>
              </w:rPr>
              <w:t>D/E ratio 1.0–2.0; inconsistent or borderline cash flow; no current covenant violations but limited headroom</w:t>
            </w:r>
          </w:p>
          <w:p w14:paraId="3477658B" w14:textId="77777777" w:rsidR="00F81FB6" w:rsidRDefault="00571C04">
            <w:pPr>
              <w:pStyle w:val="ListParagraph"/>
              <w:numPr>
                <w:ilvl w:val="0"/>
                <w:numId w:val="2"/>
              </w:numPr>
              <w:spacing w:after="30"/>
            </w:pPr>
            <w:r>
              <w:rPr>
                <w:sz w:val="19"/>
                <w:szCs w:val="19"/>
              </w:rPr>
              <w:t>Insurance / bond capacity adequate but limited margin above minimum requirements</w:t>
            </w:r>
          </w:p>
          <w:p w14:paraId="637F6687" w14:textId="77777777" w:rsidR="00F81FB6" w:rsidRDefault="00571C04">
            <w:pPr>
              <w:pStyle w:val="ListParagraph"/>
              <w:numPr>
                <w:ilvl w:val="0"/>
                <w:numId w:val="2"/>
              </w:numPr>
              <w:spacing w:after="30"/>
            </w:pPr>
            <w:r>
              <w:rPr>
                <w:sz w:val="19"/>
                <w:szCs w:val="19"/>
              </w:rPr>
              <w:t>Some audit findings requiring management attention; qualified opinion on financials</w:t>
            </w:r>
          </w:p>
          <w:p w14:paraId="298D2B80" w14:textId="77777777" w:rsidR="00F81FB6" w:rsidRDefault="00571C04">
            <w:pPr>
              <w:pStyle w:val="ListParagraph"/>
              <w:numPr>
                <w:ilvl w:val="0"/>
                <w:numId w:val="2"/>
              </w:numPr>
              <w:spacing w:after="30"/>
            </w:pPr>
            <w:r>
              <w:rPr>
                <w:sz w:val="19"/>
                <w:szCs w:val="19"/>
              </w:rPr>
              <w:t>No fuel hedging; significant exposure to spot fuel price volatility</w:t>
            </w:r>
          </w:p>
          <w:p w14:paraId="27CA9AE7" w14:textId="77777777" w:rsidR="00F81FB6" w:rsidRDefault="00571C04">
            <w:pPr>
              <w:pStyle w:val="ListParagraph"/>
              <w:numPr>
                <w:ilvl w:val="0"/>
                <w:numId w:val="2"/>
              </w:numPr>
              <w:spacing w:after="30"/>
            </w:pPr>
            <w:r>
              <w:rPr>
                <w:sz w:val="19"/>
                <w:szCs w:val="19"/>
              </w:rPr>
              <w:t>Fleet ownership &lt;40%; h</w:t>
            </w:r>
            <w:r>
              <w:rPr>
                <w:sz w:val="19"/>
                <w:szCs w:val="19"/>
              </w:rPr>
              <w:t>eavily leased, creating ongoing fixed cost exposure</w:t>
            </w:r>
          </w:p>
          <w:p w14:paraId="22A55BBF" w14:textId="77777777" w:rsidR="00F81FB6" w:rsidRDefault="00571C04">
            <w:pPr>
              <w:pStyle w:val="ListParagraph"/>
              <w:numPr>
                <w:ilvl w:val="0"/>
                <w:numId w:val="2"/>
              </w:numPr>
              <w:spacing w:after="30"/>
            </w:pPr>
            <w:r>
              <w:rPr>
                <w:sz w:val="19"/>
                <w:szCs w:val="19"/>
              </w:rPr>
              <w:t>Significant revenue concentration (one or two clients represent majority of revenue)</w:t>
            </w:r>
          </w:p>
          <w:p w14:paraId="3CBD8155" w14:textId="77777777" w:rsidR="00F81FB6" w:rsidRDefault="00571C04">
            <w:pPr>
              <w:pStyle w:val="ListParagraph"/>
              <w:numPr>
                <w:ilvl w:val="0"/>
                <w:numId w:val="2"/>
              </w:numPr>
              <w:spacing w:after="30"/>
            </w:pPr>
            <w:r>
              <w:rPr>
                <w:sz w:val="19"/>
                <w:szCs w:val="19"/>
              </w:rPr>
              <w:t>Mixed profitability: net loss in 1 of 3 years reviewed</w:t>
            </w:r>
          </w:p>
        </w:tc>
      </w:tr>
      <w:tr w:rsidR="00F81FB6" w14:paraId="742BF89E"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FFEBEE"/>
            <w:vAlign w:val="center"/>
          </w:tcPr>
          <w:p w14:paraId="182F467A" w14:textId="77777777" w:rsidR="00F81FB6" w:rsidRDefault="00571C04">
            <w:pPr>
              <w:spacing w:before="60" w:after="60"/>
              <w:jc w:val="center"/>
            </w:pPr>
            <w:r>
              <w:rPr>
                <w:b/>
                <w:bCs/>
                <w:color w:val="C00000"/>
                <w:sz w:val="24"/>
                <w:szCs w:val="24"/>
              </w:rPr>
              <w:t>1</w:t>
            </w:r>
          </w:p>
        </w:tc>
        <w:tc>
          <w:tcPr>
            <w:tcW w:w="1000" w:type="dxa"/>
            <w:tcBorders>
              <w:top w:val="single" w:sz="4" w:space="0" w:color="CCCCCC"/>
              <w:left w:val="single" w:sz="4" w:space="0" w:color="CCCCCC"/>
              <w:bottom w:val="single" w:sz="4" w:space="0" w:color="CCCCCC"/>
              <w:right w:val="single" w:sz="4" w:space="0" w:color="CCCCCC"/>
            </w:tcBorders>
            <w:shd w:val="clear" w:color="auto" w:fill="FFEBEE"/>
            <w:vAlign w:val="center"/>
          </w:tcPr>
          <w:p w14:paraId="68AF6214" w14:textId="77777777" w:rsidR="00F81FB6" w:rsidRDefault="00571C04">
            <w:pPr>
              <w:spacing w:before="60" w:after="60"/>
              <w:jc w:val="center"/>
            </w:pPr>
            <w:r>
              <w:rPr>
                <w:b/>
                <w:bCs/>
                <w:color w:val="C00000"/>
                <w:sz w:val="20"/>
                <w:szCs w:val="20"/>
              </w:rPr>
              <w:t>Poor</w:t>
            </w:r>
          </w:p>
        </w:tc>
        <w:tc>
          <w:tcPr>
            <w:tcW w:w="7660" w:type="dxa"/>
            <w:tcBorders>
              <w:top w:val="single" w:sz="4" w:space="0" w:color="CCCCCC"/>
              <w:left w:val="single" w:sz="4" w:space="0" w:color="CCCCCC"/>
              <w:bottom w:val="single" w:sz="4" w:space="0" w:color="CCCCCC"/>
              <w:right w:val="single" w:sz="4" w:space="0" w:color="CCCCCC"/>
            </w:tcBorders>
            <w:shd w:val="clear" w:color="auto" w:fill="FFEBEE"/>
          </w:tcPr>
          <w:p w14:paraId="2B52761A" w14:textId="77777777" w:rsidR="00F81FB6" w:rsidRDefault="00571C04">
            <w:pPr>
              <w:pStyle w:val="ListParagraph"/>
              <w:numPr>
                <w:ilvl w:val="0"/>
                <w:numId w:val="2"/>
              </w:numPr>
              <w:spacing w:after="30"/>
            </w:pPr>
            <w:r>
              <w:rPr>
                <w:sz w:val="19"/>
                <w:szCs w:val="19"/>
              </w:rPr>
              <w:t>D/E ratio &gt; 2.0; negative or severely insufficient operating cash flow</w:t>
            </w:r>
          </w:p>
          <w:p w14:paraId="15899F4F" w14:textId="77777777" w:rsidR="00F81FB6" w:rsidRDefault="00571C04">
            <w:pPr>
              <w:pStyle w:val="ListParagraph"/>
              <w:numPr>
                <w:ilvl w:val="0"/>
                <w:numId w:val="2"/>
              </w:numPr>
              <w:spacing w:after="30"/>
            </w:pPr>
            <w:r>
              <w:rPr>
                <w:sz w:val="19"/>
                <w:szCs w:val="19"/>
              </w:rPr>
              <w:t>Insurance / bond capacity gaps or deficiencies for engagement scope</w:t>
            </w:r>
          </w:p>
          <w:p w14:paraId="5BB167B3" w14:textId="77777777" w:rsidR="00F81FB6" w:rsidRDefault="00571C04">
            <w:pPr>
              <w:pStyle w:val="ListParagraph"/>
              <w:numPr>
                <w:ilvl w:val="0"/>
                <w:numId w:val="2"/>
              </w:numPr>
              <w:spacing w:after="30"/>
            </w:pPr>
            <w:r>
              <w:rPr>
                <w:sz w:val="19"/>
                <w:szCs w:val="19"/>
              </w:rPr>
              <w:t>Significant audit findings, adverse opinion, or auditor doubt about going concern</w:t>
            </w:r>
          </w:p>
          <w:p w14:paraId="3FE41B3D" w14:textId="77777777" w:rsidR="00F81FB6" w:rsidRDefault="00571C04">
            <w:pPr>
              <w:pStyle w:val="ListParagraph"/>
              <w:numPr>
                <w:ilvl w:val="0"/>
                <w:numId w:val="2"/>
              </w:numPr>
              <w:spacing w:after="30"/>
            </w:pPr>
            <w:r>
              <w:rPr>
                <w:sz w:val="19"/>
                <w:szCs w:val="19"/>
              </w:rPr>
              <w:t>No fuel cost management strategy; f</w:t>
            </w:r>
            <w:r>
              <w:rPr>
                <w:sz w:val="19"/>
                <w:szCs w:val="19"/>
              </w:rPr>
              <w:t>ully exposed to market fuel price volatility</w:t>
            </w:r>
          </w:p>
          <w:p w14:paraId="2CF5CB81" w14:textId="77777777" w:rsidR="00F81FB6" w:rsidRDefault="00571C04">
            <w:pPr>
              <w:pStyle w:val="ListParagraph"/>
              <w:numPr>
                <w:ilvl w:val="0"/>
                <w:numId w:val="2"/>
              </w:numPr>
              <w:spacing w:after="30"/>
            </w:pPr>
            <w:r>
              <w:rPr>
                <w:sz w:val="19"/>
                <w:szCs w:val="19"/>
              </w:rPr>
              <w:t>Excessive debt from fleet financing; fleet almost entirely leased with heavy obligations</w:t>
            </w:r>
          </w:p>
          <w:p w14:paraId="6C8CCD42" w14:textId="77777777" w:rsidR="00F81FB6" w:rsidRDefault="00571C04">
            <w:pPr>
              <w:pStyle w:val="ListParagraph"/>
              <w:numPr>
                <w:ilvl w:val="0"/>
                <w:numId w:val="2"/>
              </w:numPr>
              <w:spacing w:after="30"/>
            </w:pPr>
            <w:r>
              <w:rPr>
                <w:sz w:val="19"/>
                <w:szCs w:val="19"/>
              </w:rPr>
              <w:t>High revenue concentration risk; company viability dependent on one or two clients</w:t>
            </w:r>
          </w:p>
          <w:p w14:paraId="70AB3C0F" w14:textId="77777777" w:rsidR="00F81FB6" w:rsidRDefault="00571C04">
            <w:pPr>
              <w:pStyle w:val="ListParagraph"/>
              <w:numPr>
                <w:ilvl w:val="0"/>
                <w:numId w:val="2"/>
              </w:numPr>
              <w:spacing w:after="30"/>
            </w:pPr>
            <w:r>
              <w:rPr>
                <w:sz w:val="19"/>
                <w:szCs w:val="19"/>
              </w:rPr>
              <w:t>Negative net income in 2 or more of 3 y</w:t>
            </w:r>
            <w:r>
              <w:rPr>
                <w:sz w:val="19"/>
                <w:szCs w:val="19"/>
              </w:rPr>
              <w:t>ears reviewed; deteriorating trend</w:t>
            </w:r>
          </w:p>
        </w:tc>
      </w:tr>
    </w:tbl>
    <w:p w14:paraId="55EDB843" w14:textId="77777777" w:rsidR="00F81FB6" w:rsidRDefault="00F81FB6">
      <w:pPr>
        <w:spacing w:after="140"/>
      </w:pPr>
    </w:p>
    <w:p w14:paraId="1BC2CDB7" w14:textId="77777777" w:rsidR="00F81FB6" w:rsidRDefault="00571C04">
      <w:pPr>
        <w:pStyle w:val="SubHeader"/>
      </w:pPr>
      <w:r>
        <w:lastRenderedPageBreak/>
        <w:t>C.2  Safety Performance  —  20% Weight  ·  80 Points Maximum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1000"/>
        <w:gridCol w:w="7660"/>
      </w:tblGrid>
      <w:tr w:rsidR="00F81FB6" w14:paraId="1FCB4EC0" w14:textId="77777777">
        <w:tblPrEx>
          <w:tblCellMar>
            <w:top w:w="0" w:type="dxa"/>
            <w:bottom w:w="0" w:type="dxa"/>
          </w:tblCellMar>
        </w:tblPrEx>
        <w:trPr>
          <w:tblHeader/>
        </w:trPr>
        <w:tc>
          <w:tcPr>
            <w:tcW w:w="700" w:type="dxa"/>
            <w:tcBorders>
              <w:top w:val="single" w:sz="4" w:space="0" w:color="CCCCCC"/>
              <w:left w:val="single" w:sz="4" w:space="0" w:color="CCCCCC"/>
              <w:bottom w:val="single" w:sz="4" w:space="0" w:color="CCCCCC"/>
              <w:right w:val="single" w:sz="4" w:space="0" w:color="CCCCCC"/>
            </w:tcBorders>
            <w:shd w:val="clear" w:color="auto" w:fill="1F4E79"/>
            <w:vAlign w:val="center"/>
          </w:tcPr>
          <w:p w14:paraId="1B5AA420" w14:textId="77777777" w:rsidR="00F81FB6" w:rsidRDefault="00571C04">
            <w:pPr>
              <w:spacing w:before="60" w:after="60"/>
              <w:jc w:val="center"/>
            </w:pPr>
            <w:r>
              <w:rPr>
                <w:b/>
                <w:bCs/>
                <w:color w:val="FFFFFF"/>
                <w:sz w:val="20"/>
                <w:szCs w:val="20"/>
              </w:rPr>
              <w:t>Score</w:t>
            </w:r>
          </w:p>
        </w:tc>
        <w:tc>
          <w:tcPr>
            <w:tcW w:w="1000" w:type="dxa"/>
            <w:tcBorders>
              <w:top w:val="single" w:sz="4" w:space="0" w:color="CCCCCC"/>
              <w:left w:val="single" w:sz="4" w:space="0" w:color="CCCCCC"/>
              <w:bottom w:val="single" w:sz="4" w:space="0" w:color="CCCCCC"/>
              <w:right w:val="single" w:sz="4" w:space="0" w:color="CCCCCC"/>
            </w:tcBorders>
            <w:shd w:val="clear" w:color="auto" w:fill="1F4E79"/>
            <w:vAlign w:val="center"/>
          </w:tcPr>
          <w:p w14:paraId="7F570D67" w14:textId="77777777" w:rsidR="00F81FB6" w:rsidRDefault="00571C04">
            <w:pPr>
              <w:spacing w:before="60" w:after="60"/>
              <w:jc w:val="center"/>
            </w:pPr>
            <w:r>
              <w:rPr>
                <w:b/>
                <w:bCs/>
                <w:color w:val="FFFFFF"/>
                <w:sz w:val="20"/>
                <w:szCs w:val="20"/>
              </w:rPr>
              <w:t>Level</w:t>
            </w:r>
          </w:p>
        </w:tc>
        <w:tc>
          <w:tcPr>
            <w:tcW w:w="7660" w:type="dxa"/>
            <w:tcBorders>
              <w:top w:val="single" w:sz="4" w:space="0" w:color="CCCCCC"/>
              <w:left w:val="single" w:sz="4" w:space="0" w:color="CCCCCC"/>
              <w:bottom w:val="single" w:sz="4" w:space="0" w:color="CCCCCC"/>
              <w:right w:val="single" w:sz="4" w:space="0" w:color="CCCCCC"/>
            </w:tcBorders>
            <w:shd w:val="clear" w:color="auto" w:fill="1F4E79"/>
            <w:vAlign w:val="center"/>
          </w:tcPr>
          <w:p w14:paraId="49AA27F2" w14:textId="77777777" w:rsidR="00F81FB6" w:rsidRDefault="00571C04">
            <w:pPr>
              <w:spacing w:before="60" w:after="60"/>
              <w:jc w:val="center"/>
            </w:pPr>
            <w:r>
              <w:rPr>
                <w:b/>
                <w:bCs/>
                <w:color w:val="FFFFFF"/>
                <w:sz w:val="20"/>
                <w:szCs w:val="20"/>
              </w:rPr>
              <w:t>Criteria — Safety Performance (20% · 80 pts)</w:t>
            </w:r>
          </w:p>
        </w:tc>
      </w:tr>
      <w:tr w:rsidR="00F81FB6" w14:paraId="4463FD12"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E8F5E9"/>
            <w:vAlign w:val="center"/>
          </w:tcPr>
          <w:p w14:paraId="5598DB70" w14:textId="77777777" w:rsidR="00F81FB6" w:rsidRDefault="00571C04">
            <w:pPr>
              <w:spacing w:before="60" w:after="60"/>
              <w:jc w:val="center"/>
            </w:pPr>
            <w:r>
              <w:rPr>
                <w:b/>
                <w:bCs/>
                <w:color w:val="1A7432"/>
                <w:sz w:val="24"/>
                <w:szCs w:val="24"/>
              </w:rPr>
              <w:t>4</w:t>
            </w:r>
          </w:p>
        </w:tc>
        <w:tc>
          <w:tcPr>
            <w:tcW w:w="1000" w:type="dxa"/>
            <w:tcBorders>
              <w:top w:val="single" w:sz="4" w:space="0" w:color="CCCCCC"/>
              <w:left w:val="single" w:sz="4" w:space="0" w:color="CCCCCC"/>
              <w:bottom w:val="single" w:sz="4" w:space="0" w:color="CCCCCC"/>
              <w:right w:val="single" w:sz="4" w:space="0" w:color="CCCCCC"/>
            </w:tcBorders>
            <w:shd w:val="clear" w:color="auto" w:fill="E8F5E9"/>
            <w:vAlign w:val="center"/>
          </w:tcPr>
          <w:p w14:paraId="642740A9" w14:textId="77777777" w:rsidR="00F81FB6" w:rsidRDefault="00571C04">
            <w:pPr>
              <w:spacing w:before="60" w:after="60"/>
              <w:jc w:val="center"/>
            </w:pPr>
            <w:r>
              <w:rPr>
                <w:b/>
                <w:bCs/>
                <w:color w:val="1A7432"/>
                <w:sz w:val="20"/>
                <w:szCs w:val="20"/>
              </w:rPr>
              <w:t>Excellent</w:t>
            </w:r>
          </w:p>
        </w:tc>
        <w:tc>
          <w:tcPr>
            <w:tcW w:w="7660" w:type="dxa"/>
            <w:tcBorders>
              <w:top w:val="single" w:sz="4" w:space="0" w:color="CCCCCC"/>
              <w:left w:val="single" w:sz="4" w:space="0" w:color="CCCCCC"/>
              <w:bottom w:val="single" w:sz="4" w:space="0" w:color="CCCCCC"/>
              <w:right w:val="single" w:sz="4" w:space="0" w:color="CCCCCC"/>
            </w:tcBorders>
            <w:shd w:val="clear" w:color="auto" w:fill="E8F5E9"/>
          </w:tcPr>
          <w:p w14:paraId="50E87F97" w14:textId="77777777" w:rsidR="00F81FB6" w:rsidRDefault="00571C04">
            <w:pPr>
              <w:pStyle w:val="ListParagraph"/>
              <w:numPr>
                <w:ilvl w:val="0"/>
                <w:numId w:val="2"/>
              </w:numPr>
              <w:spacing w:after="30"/>
            </w:pPr>
            <w:r>
              <w:rPr>
                <w:sz w:val="19"/>
                <w:szCs w:val="19"/>
              </w:rPr>
              <w:t>TRIR &lt; 1.0; EMR &lt; 0.85; zero DOT-reportable accidents in past 3 years</w:t>
            </w:r>
          </w:p>
          <w:p w14:paraId="0273A8CA" w14:textId="77777777" w:rsidR="00F81FB6" w:rsidRDefault="00571C04">
            <w:pPr>
              <w:pStyle w:val="ListParagraph"/>
              <w:numPr>
                <w:ilvl w:val="0"/>
                <w:numId w:val="2"/>
              </w:numPr>
              <w:spacing w:after="30"/>
            </w:pPr>
            <w:r>
              <w:rPr>
                <w:sz w:val="19"/>
                <w:szCs w:val="19"/>
              </w:rPr>
              <w:t>FMCSA SMS scores: ALL 7 BASICs (Unsafe Driving, HOS Compliance, Driver Fitness, Controlled Substances/Alcohol, Vehicle Maintenance, Hazmat Compliance, Crash Indicator) below alert thresh</w:t>
            </w:r>
            <w:r>
              <w:rPr>
                <w:sz w:val="19"/>
                <w:szCs w:val="19"/>
              </w:rPr>
              <w:t>olds</w:t>
            </w:r>
          </w:p>
          <w:p w14:paraId="2A1EF433" w14:textId="77777777" w:rsidR="00F81FB6" w:rsidRDefault="00571C04">
            <w:pPr>
              <w:pStyle w:val="ListParagraph"/>
              <w:numPr>
                <w:ilvl w:val="0"/>
                <w:numId w:val="2"/>
              </w:numPr>
              <w:spacing w:after="30"/>
            </w:pPr>
            <w:r>
              <w:rPr>
                <w:sz w:val="19"/>
                <w:szCs w:val="19"/>
              </w:rPr>
              <w:t>Satisfactory DOT safety rating (most recent compliance review)</w:t>
            </w:r>
          </w:p>
          <w:p w14:paraId="008AFF75" w14:textId="77777777" w:rsidR="00F81FB6" w:rsidRDefault="00571C04">
            <w:pPr>
              <w:pStyle w:val="ListParagraph"/>
              <w:numPr>
                <w:ilvl w:val="0"/>
                <w:numId w:val="2"/>
              </w:numPr>
              <w:spacing w:after="30"/>
            </w:pPr>
            <w:r>
              <w:rPr>
                <w:sz w:val="19"/>
                <w:szCs w:val="19"/>
              </w:rPr>
              <w:t>Comprehensive written safety program covering vehicle operations, driver safety, and warehouse operations</w:t>
            </w:r>
          </w:p>
          <w:p w14:paraId="6F76D516" w14:textId="77777777" w:rsidR="00F81FB6" w:rsidRDefault="00571C04">
            <w:pPr>
              <w:pStyle w:val="ListParagraph"/>
              <w:numPr>
                <w:ilvl w:val="0"/>
                <w:numId w:val="2"/>
              </w:numPr>
              <w:spacing w:after="30"/>
            </w:pPr>
            <w:r>
              <w:rPr>
                <w:sz w:val="19"/>
                <w:szCs w:val="19"/>
              </w:rPr>
              <w:t>Proactive safety culture with documented near-miss reporting program; zero fatalit</w:t>
            </w:r>
            <w:r>
              <w:rPr>
                <w:sz w:val="19"/>
                <w:szCs w:val="19"/>
              </w:rPr>
              <w:t>ies in past 3 years</w:t>
            </w:r>
          </w:p>
          <w:p w14:paraId="3CD9A5EE" w14:textId="77777777" w:rsidR="00F81FB6" w:rsidRDefault="00571C04">
            <w:pPr>
              <w:pStyle w:val="ListParagraph"/>
              <w:numPr>
                <w:ilvl w:val="0"/>
                <w:numId w:val="2"/>
              </w:numPr>
              <w:spacing w:after="30"/>
            </w:pPr>
            <w:r>
              <w:rPr>
                <w:sz w:val="19"/>
                <w:szCs w:val="19"/>
              </w:rPr>
              <w:t>Driver qualification file compliance &gt;98%; pre-employment, random, and post-accident drug/alcohol testing exceeds FMCSA minimums</w:t>
            </w:r>
          </w:p>
          <w:p w14:paraId="04BF60EC" w14:textId="77777777" w:rsidR="00F81FB6" w:rsidRDefault="00571C04">
            <w:pPr>
              <w:pStyle w:val="ListParagraph"/>
              <w:numPr>
                <w:ilvl w:val="0"/>
                <w:numId w:val="2"/>
              </w:numPr>
              <w:spacing w:after="30"/>
            </w:pPr>
            <w:r>
              <w:rPr>
                <w:sz w:val="19"/>
                <w:szCs w:val="19"/>
              </w:rPr>
              <w:t>Regular (at minimum quarterly) safety training; OSHA 10/30 certifications for relevant roles</w:t>
            </w:r>
          </w:p>
          <w:p w14:paraId="3CF5FFD2" w14:textId="77777777" w:rsidR="00F81FB6" w:rsidRDefault="00571C04">
            <w:pPr>
              <w:pStyle w:val="ListParagraph"/>
              <w:numPr>
                <w:ilvl w:val="0"/>
                <w:numId w:val="2"/>
              </w:numPr>
              <w:spacing w:after="30"/>
            </w:pPr>
            <w:r>
              <w:rPr>
                <w:sz w:val="19"/>
                <w:szCs w:val="19"/>
              </w:rPr>
              <w:t>Documented saf</w:t>
            </w:r>
            <w:r>
              <w:rPr>
                <w:sz w:val="19"/>
                <w:szCs w:val="19"/>
              </w:rPr>
              <w:t>ety improvement trend over 3-year review period</w:t>
            </w:r>
          </w:p>
        </w:tc>
      </w:tr>
      <w:tr w:rsidR="00F81FB6" w14:paraId="7FA6482E"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F1F8E9"/>
            <w:vAlign w:val="center"/>
          </w:tcPr>
          <w:p w14:paraId="4AF076F4" w14:textId="77777777" w:rsidR="00F81FB6" w:rsidRDefault="00571C04">
            <w:pPr>
              <w:spacing w:before="60" w:after="60"/>
              <w:jc w:val="center"/>
            </w:pPr>
            <w:r>
              <w:rPr>
                <w:b/>
                <w:bCs/>
                <w:color w:val="558B2F"/>
                <w:sz w:val="24"/>
                <w:szCs w:val="24"/>
              </w:rPr>
              <w:t>3</w:t>
            </w:r>
          </w:p>
        </w:tc>
        <w:tc>
          <w:tcPr>
            <w:tcW w:w="1000" w:type="dxa"/>
            <w:tcBorders>
              <w:top w:val="single" w:sz="4" w:space="0" w:color="CCCCCC"/>
              <w:left w:val="single" w:sz="4" w:space="0" w:color="CCCCCC"/>
              <w:bottom w:val="single" w:sz="4" w:space="0" w:color="CCCCCC"/>
              <w:right w:val="single" w:sz="4" w:space="0" w:color="CCCCCC"/>
            </w:tcBorders>
            <w:shd w:val="clear" w:color="auto" w:fill="F1F8E9"/>
            <w:vAlign w:val="center"/>
          </w:tcPr>
          <w:p w14:paraId="06103933" w14:textId="77777777" w:rsidR="00F81FB6" w:rsidRDefault="00571C04">
            <w:pPr>
              <w:spacing w:before="60" w:after="60"/>
              <w:jc w:val="center"/>
            </w:pPr>
            <w:r>
              <w:rPr>
                <w:b/>
                <w:bCs/>
                <w:color w:val="558B2F"/>
                <w:sz w:val="20"/>
                <w:szCs w:val="20"/>
              </w:rPr>
              <w:t>Good</w:t>
            </w:r>
          </w:p>
        </w:tc>
        <w:tc>
          <w:tcPr>
            <w:tcW w:w="7660" w:type="dxa"/>
            <w:tcBorders>
              <w:top w:val="single" w:sz="4" w:space="0" w:color="CCCCCC"/>
              <w:left w:val="single" w:sz="4" w:space="0" w:color="CCCCCC"/>
              <w:bottom w:val="single" w:sz="4" w:space="0" w:color="CCCCCC"/>
              <w:right w:val="single" w:sz="4" w:space="0" w:color="CCCCCC"/>
            </w:tcBorders>
            <w:shd w:val="clear" w:color="auto" w:fill="F1F8E9"/>
          </w:tcPr>
          <w:p w14:paraId="376F02BD" w14:textId="77777777" w:rsidR="00F81FB6" w:rsidRDefault="00571C04">
            <w:pPr>
              <w:pStyle w:val="ListParagraph"/>
              <w:numPr>
                <w:ilvl w:val="0"/>
                <w:numId w:val="2"/>
              </w:numPr>
              <w:spacing w:after="30"/>
            </w:pPr>
            <w:r>
              <w:rPr>
                <w:sz w:val="19"/>
                <w:szCs w:val="19"/>
              </w:rPr>
              <w:t>TRIR 1.0–2.0; EMR 0.85–1.0; minor DOT-reportable incidents only in past 3 years</w:t>
            </w:r>
          </w:p>
          <w:p w14:paraId="38C8E2C1" w14:textId="77777777" w:rsidR="00F81FB6" w:rsidRDefault="00571C04">
            <w:pPr>
              <w:pStyle w:val="ListParagraph"/>
              <w:numPr>
                <w:ilvl w:val="0"/>
                <w:numId w:val="2"/>
              </w:numPr>
              <w:spacing w:after="30"/>
            </w:pPr>
            <w:r>
              <w:rPr>
                <w:sz w:val="19"/>
                <w:szCs w:val="19"/>
              </w:rPr>
              <w:t>Most FMCSA BASICs below alert thresholds; 1–2 BASICs at or approaching (but not exceeding) alert levels</w:t>
            </w:r>
          </w:p>
          <w:p w14:paraId="0DAFD4A4" w14:textId="77777777" w:rsidR="00F81FB6" w:rsidRDefault="00571C04">
            <w:pPr>
              <w:pStyle w:val="ListParagraph"/>
              <w:numPr>
                <w:ilvl w:val="0"/>
                <w:numId w:val="2"/>
              </w:numPr>
              <w:spacing w:after="30"/>
            </w:pPr>
            <w:r>
              <w:rPr>
                <w:sz w:val="19"/>
                <w:szCs w:val="19"/>
              </w:rPr>
              <w:t>Satisfactory DOT safety rating</w:t>
            </w:r>
          </w:p>
          <w:p w14:paraId="2D7D58D8" w14:textId="77777777" w:rsidR="00F81FB6" w:rsidRDefault="00571C04">
            <w:pPr>
              <w:pStyle w:val="ListParagraph"/>
              <w:numPr>
                <w:ilvl w:val="0"/>
                <w:numId w:val="2"/>
              </w:numPr>
              <w:spacing w:after="30"/>
            </w:pPr>
            <w:r>
              <w:rPr>
                <w:sz w:val="19"/>
                <w:szCs w:val="19"/>
              </w:rPr>
              <w:t>Documented safety program covering core requirements; regular safety training conducted</w:t>
            </w:r>
          </w:p>
          <w:p w14:paraId="3CC611F6" w14:textId="77777777" w:rsidR="00F81FB6" w:rsidRDefault="00571C04">
            <w:pPr>
              <w:pStyle w:val="ListParagraph"/>
              <w:numPr>
                <w:ilvl w:val="0"/>
                <w:numId w:val="2"/>
              </w:numPr>
              <w:spacing w:after="30"/>
            </w:pPr>
            <w:r>
              <w:rPr>
                <w:sz w:val="19"/>
                <w:szCs w:val="19"/>
              </w:rPr>
              <w:t>Driver qualification file complia</w:t>
            </w:r>
            <w:r>
              <w:rPr>
                <w:sz w:val="19"/>
                <w:szCs w:val="19"/>
              </w:rPr>
              <w:t>nce &gt;95%; standard FMCSA-compliant drug/alcohol testing program</w:t>
            </w:r>
          </w:p>
          <w:p w14:paraId="15ABECC0" w14:textId="77777777" w:rsidR="00F81FB6" w:rsidRDefault="00571C04">
            <w:pPr>
              <w:pStyle w:val="ListParagraph"/>
              <w:numPr>
                <w:ilvl w:val="0"/>
                <w:numId w:val="2"/>
              </w:numPr>
              <w:spacing w:after="30"/>
            </w:pPr>
            <w:r>
              <w:rPr>
                <w:sz w:val="19"/>
                <w:szCs w:val="19"/>
              </w:rPr>
              <w:t>No fatalities in review period; corrective actions documented for any incidents</w:t>
            </w:r>
          </w:p>
        </w:tc>
      </w:tr>
      <w:tr w:rsidR="00F81FB6" w14:paraId="0C278347"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FFF8E1"/>
            <w:vAlign w:val="center"/>
          </w:tcPr>
          <w:p w14:paraId="292C0306" w14:textId="77777777" w:rsidR="00F81FB6" w:rsidRDefault="00571C04">
            <w:pPr>
              <w:spacing w:before="60" w:after="60"/>
              <w:jc w:val="center"/>
            </w:pPr>
            <w:r>
              <w:rPr>
                <w:b/>
                <w:bCs/>
                <w:color w:val="F57F17"/>
                <w:sz w:val="24"/>
                <w:szCs w:val="24"/>
              </w:rPr>
              <w:t>2</w:t>
            </w:r>
          </w:p>
        </w:tc>
        <w:tc>
          <w:tcPr>
            <w:tcW w:w="1000" w:type="dxa"/>
            <w:tcBorders>
              <w:top w:val="single" w:sz="4" w:space="0" w:color="CCCCCC"/>
              <w:left w:val="single" w:sz="4" w:space="0" w:color="CCCCCC"/>
              <w:bottom w:val="single" w:sz="4" w:space="0" w:color="CCCCCC"/>
              <w:right w:val="single" w:sz="4" w:space="0" w:color="CCCCCC"/>
            </w:tcBorders>
            <w:shd w:val="clear" w:color="auto" w:fill="FFF8E1"/>
            <w:vAlign w:val="center"/>
          </w:tcPr>
          <w:p w14:paraId="187CCFD4" w14:textId="77777777" w:rsidR="00F81FB6" w:rsidRDefault="00571C04">
            <w:pPr>
              <w:spacing w:before="60" w:after="60"/>
              <w:jc w:val="center"/>
            </w:pPr>
            <w:r>
              <w:rPr>
                <w:b/>
                <w:bCs/>
                <w:color w:val="F57F17"/>
                <w:sz w:val="20"/>
                <w:szCs w:val="20"/>
              </w:rPr>
              <w:t>Fair</w:t>
            </w:r>
          </w:p>
        </w:tc>
        <w:tc>
          <w:tcPr>
            <w:tcW w:w="7660" w:type="dxa"/>
            <w:tcBorders>
              <w:top w:val="single" w:sz="4" w:space="0" w:color="CCCCCC"/>
              <w:left w:val="single" w:sz="4" w:space="0" w:color="CCCCCC"/>
              <w:bottom w:val="single" w:sz="4" w:space="0" w:color="CCCCCC"/>
              <w:right w:val="single" w:sz="4" w:space="0" w:color="CCCCCC"/>
            </w:tcBorders>
            <w:shd w:val="clear" w:color="auto" w:fill="FFF8E1"/>
          </w:tcPr>
          <w:p w14:paraId="073DB8E8" w14:textId="77777777" w:rsidR="00F81FB6" w:rsidRDefault="00571C04">
            <w:pPr>
              <w:pStyle w:val="ListParagraph"/>
              <w:numPr>
                <w:ilvl w:val="0"/>
                <w:numId w:val="2"/>
              </w:numPr>
              <w:spacing w:after="30"/>
            </w:pPr>
            <w:r>
              <w:rPr>
                <w:sz w:val="19"/>
                <w:szCs w:val="19"/>
              </w:rPr>
              <w:t>TRIR 2.0–3.0; EMR 1.0–1.2; some DOT-reportable accidents in review period</w:t>
            </w:r>
          </w:p>
          <w:p w14:paraId="65EB5B4B" w14:textId="77777777" w:rsidR="00F81FB6" w:rsidRDefault="00571C04">
            <w:pPr>
              <w:pStyle w:val="ListParagraph"/>
              <w:numPr>
                <w:ilvl w:val="0"/>
                <w:numId w:val="2"/>
              </w:numPr>
              <w:spacing w:after="30"/>
            </w:pPr>
            <w:r>
              <w:rPr>
                <w:sz w:val="19"/>
                <w:szCs w:val="19"/>
              </w:rPr>
              <w:t>1–2 FMCSA BASICs at or above alert thresholds with remediation in progress</w:t>
            </w:r>
          </w:p>
          <w:p w14:paraId="111A433C" w14:textId="77777777" w:rsidR="00F81FB6" w:rsidRDefault="00571C04">
            <w:pPr>
              <w:pStyle w:val="ListParagraph"/>
              <w:numPr>
                <w:ilvl w:val="0"/>
                <w:numId w:val="2"/>
              </w:numPr>
              <w:spacing w:after="30"/>
            </w:pPr>
            <w:r>
              <w:rPr>
                <w:sz w:val="19"/>
                <w:szCs w:val="19"/>
              </w:rPr>
              <w:t>Conditional DOT safety rating; corrective action plan submitted</w:t>
            </w:r>
          </w:p>
          <w:p w14:paraId="3792195B" w14:textId="77777777" w:rsidR="00F81FB6" w:rsidRDefault="00571C04">
            <w:pPr>
              <w:pStyle w:val="ListParagraph"/>
              <w:numPr>
                <w:ilvl w:val="0"/>
                <w:numId w:val="2"/>
              </w:numPr>
              <w:spacing w:after="30"/>
            </w:pPr>
            <w:r>
              <w:rPr>
                <w:sz w:val="19"/>
                <w:szCs w:val="19"/>
              </w:rPr>
              <w:t>Basic safety compliance; limited program do</w:t>
            </w:r>
            <w:r>
              <w:rPr>
                <w:sz w:val="19"/>
                <w:szCs w:val="19"/>
              </w:rPr>
              <w:t>cumentation; training gaps identified</w:t>
            </w:r>
          </w:p>
          <w:p w14:paraId="7AE3999D" w14:textId="77777777" w:rsidR="00F81FB6" w:rsidRDefault="00571C04">
            <w:pPr>
              <w:pStyle w:val="ListParagraph"/>
              <w:numPr>
                <w:ilvl w:val="0"/>
                <w:numId w:val="2"/>
              </w:numPr>
              <w:spacing w:after="30"/>
            </w:pPr>
            <w:r>
              <w:rPr>
                <w:sz w:val="19"/>
                <w:szCs w:val="19"/>
              </w:rPr>
              <w:t>Driver qualification file compliance 90–95%; minor testing program deficiencies</w:t>
            </w:r>
          </w:p>
          <w:p w14:paraId="088908E9" w14:textId="77777777" w:rsidR="00F81FB6" w:rsidRDefault="00571C04">
            <w:pPr>
              <w:pStyle w:val="ListParagraph"/>
              <w:numPr>
                <w:ilvl w:val="0"/>
                <w:numId w:val="2"/>
              </w:numPr>
              <w:spacing w:after="30"/>
            </w:pPr>
            <w:r>
              <w:rPr>
                <w:sz w:val="19"/>
                <w:szCs w:val="19"/>
              </w:rPr>
              <w:t>No fatalities; corrective actions taken but not fully closed</w:t>
            </w:r>
          </w:p>
        </w:tc>
      </w:tr>
      <w:tr w:rsidR="00F81FB6" w14:paraId="0AA2B71F"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FFEBEE"/>
            <w:vAlign w:val="center"/>
          </w:tcPr>
          <w:p w14:paraId="62E3E9D9" w14:textId="77777777" w:rsidR="00F81FB6" w:rsidRDefault="00571C04">
            <w:pPr>
              <w:spacing w:before="60" w:after="60"/>
              <w:jc w:val="center"/>
            </w:pPr>
            <w:r>
              <w:rPr>
                <w:b/>
                <w:bCs/>
                <w:color w:val="C00000"/>
                <w:sz w:val="24"/>
                <w:szCs w:val="24"/>
              </w:rPr>
              <w:t>1</w:t>
            </w:r>
          </w:p>
        </w:tc>
        <w:tc>
          <w:tcPr>
            <w:tcW w:w="1000" w:type="dxa"/>
            <w:tcBorders>
              <w:top w:val="single" w:sz="4" w:space="0" w:color="CCCCCC"/>
              <w:left w:val="single" w:sz="4" w:space="0" w:color="CCCCCC"/>
              <w:bottom w:val="single" w:sz="4" w:space="0" w:color="CCCCCC"/>
              <w:right w:val="single" w:sz="4" w:space="0" w:color="CCCCCC"/>
            </w:tcBorders>
            <w:shd w:val="clear" w:color="auto" w:fill="FFEBEE"/>
            <w:vAlign w:val="center"/>
          </w:tcPr>
          <w:p w14:paraId="5C8F065E" w14:textId="77777777" w:rsidR="00F81FB6" w:rsidRDefault="00571C04">
            <w:pPr>
              <w:spacing w:before="60" w:after="60"/>
              <w:jc w:val="center"/>
            </w:pPr>
            <w:r>
              <w:rPr>
                <w:b/>
                <w:bCs/>
                <w:color w:val="C00000"/>
                <w:sz w:val="20"/>
                <w:szCs w:val="20"/>
              </w:rPr>
              <w:t>Poor</w:t>
            </w:r>
          </w:p>
        </w:tc>
        <w:tc>
          <w:tcPr>
            <w:tcW w:w="7660" w:type="dxa"/>
            <w:tcBorders>
              <w:top w:val="single" w:sz="4" w:space="0" w:color="CCCCCC"/>
              <w:left w:val="single" w:sz="4" w:space="0" w:color="CCCCCC"/>
              <w:bottom w:val="single" w:sz="4" w:space="0" w:color="CCCCCC"/>
              <w:right w:val="single" w:sz="4" w:space="0" w:color="CCCCCC"/>
            </w:tcBorders>
            <w:shd w:val="clear" w:color="auto" w:fill="FFEBEE"/>
          </w:tcPr>
          <w:p w14:paraId="75F42A7F" w14:textId="77777777" w:rsidR="00F81FB6" w:rsidRDefault="00571C04">
            <w:pPr>
              <w:pStyle w:val="ListParagraph"/>
              <w:numPr>
                <w:ilvl w:val="0"/>
                <w:numId w:val="2"/>
              </w:numPr>
              <w:spacing w:after="30"/>
            </w:pPr>
            <w:r>
              <w:rPr>
                <w:sz w:val="19"/>
                <w:szCs w:val="19"/>
              </w:rPr>
              <w:t>TRIR &gt; 3.0; EMR &gt; 1.2; multiple DOT-reportable accidents in review period (NOTE: triggers CRI failure if at threshold)</w:t>
            </w:r>
          </w:p>
          <w:p w14:paraId="330F4EFC" w14:textId="77777777" w:rsidR="00F81FB6" w:rsidRDefault="00571C04">
            <w:pPr>
              <w:pStyle w:val="ListParagraph"/>
              <w:numPr>
                <w:ilvl w:val="0"/>
                <w:numId w:val="2"/>
              </w:numPr>
              <w:spacing w:after="30"/>
            </w:pPr>
            <w:r>
              <w:rPr>
                <w:sz w:val="19"/>
                <w:szCs w:val="19"/>
              </w:rPr>
              <w:t>Multiple FMCSA BASICs above alert thresholds; intervention notices or warning letters received</w:t>
            </w:r>
          </w:p>
          <w:p w14:paraId="6D55F555" w14:textId="77777777" w:rsidR="00F81FB6" w:rsidRDefault="00571C04">
            <w:pPr>
              <w:pStyle w:val="ListParagraph"/>
              <w:numPr>
                <w:ilvl w:val="0"/>
                <w:numId w:val="2"/>
              </w:numPr>
              <w:spacing w:after="30"/>
            </w:pPr>
            <w:r>
              <w:rPr>
                <w:sz w:val="19"/>
                <w:szCs w:val="19"/>
              </w:rPr>
              <w:t>Unsatisfactory or Conditional DOT rating w</w:t>
            </w:r>
            <w:r>
              <w:rPr>
                <w:sz w:val="19"/>
                <w:szCs w:val="19"/>
              </w:rPr>
              <w:t>ith unresolved findings</w:t>
            </w:r>
          </w:p>
          <w:p w14:paraId="15B1AB47" w14:textId="77777777" w:rsidR="00F81FB6" w:rsidRDefault="00571C04">
            <w:pPr>
              <w:pStyle w:val="ListParagraph"/>
              <w:numPr>
                <w:ilvl w:val="0"/>
                <w:numId w:val="2"/>
              </w:numPr>
              <w:spacing w:after="30"/>
            </w:pPr>
            <w:r>
              <w:rPr>
                <w:sz w:val="19"/>
                <w:szCs w:val="19"/>
              </w:rPr>
              <w:t>Inadequate or non-existent formal safety program</w:t>
            </w:r>
          </w:p>
          <w:p w14:paraId="5C047DC3" w14:textId="77777777" w:rsidR="00F81FB6" w:rsidRDefault="00571C04">
            <w:pPr>
              <w:pStyle w:val="ListParagraph"/>
              <w:numPr>
                <w:ilvl w:val="0"/>
                <w:numId w:val="2"/>
              </w:numPr>
              <w:spacing w:after="30"/>
            </w:pPr>
            <w:r>
              <w:rPr>
                <w:sz w:val="19"/>
                <w:szCs w:val="19"/>
              </w:rPr>
              <w:t>Fatalities in past 3 years; inadequate root cause analysis or corrective actions</w:t>
            </w:r>
          </w:p>
          <w:p w14:paraId="335979CF" w14:textId="77777777" w:rsidR="00F81FB6" w:rsidRDefault="00571C04">
            <w:pPr>
              <w:pStyle w:val="ListParagraph"/>
              <w:numPr>
                <w:ilvl w:val="0"/>
                <w:numId w:val="2"/>
              </w:numPr>
              <w:spacing w:after="30"/>
            </w:pPr>
            <w:r>
              <w:rPr>
                <w:sz w:val="19"/>
                <w:szCs w:val="19"/>
              </w:rPr>
              <w:t>Driver qualification file compliance &lt;90%; drug/alcohol testing program deficiencies</w:t>
            </w:r>
          </w:p>
        </w:tc>
      </w:tr>
    </w:tbl>
    <w:p w14:paraId="1F57C73A" w14:textId="77777777" w:rsidR="00F81FB6" w:rsidRDefault="00F81FB6">
      <w:pPr>
        <w:spacing w:after="140"/>
      </w:pPr>
    </w:p>
    <w:p w14:paraId="0582C0EF" w14:textId="77777777" w:rsidR="00F81FB6" w:rsidRDefault="00571C04">
      <w:pPr>
        <w:pStyle w:val="SubHeader"/>
      </w:pPr>
      <w:r>
        <w:t>C.3  Quality / Performance History  —  20% Weight  ·  80 Points Maximum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1000"/>
        <w:gridCol w:w="7660"/>
      </w:tblGrid>
      <w:tr w:rsidR="00F81FB6" w14:paraId="0DEA219B" w14:textId="77777777">
        <w:tblPrEx>
          <w:tblCellMar>
            <w:top w:w="0" w:type="dxa"/>
            <w:bottom w:w="0" w:type="dxa"/>
          </w:tblCellMar>
        </w:tblPrEx>
        <w:trPr>
          <w:tblHeader/>
        </w:trPr>
        <w:tc>
          <w:tcPr>
            <w:tcW w:w="700" w:type="dxa"/>
            <w:tcBorders>
              <w:top w:val="single" w:sz="4" w:space="0" w:color="CCCCCC"/>
              <w:left w:val="single" w:sz="4" w:space="0" w:color="CCCCCC"/>
              <w:bottom w:val="single" w:sz="4" w:space="0" w:color="CCCCCC"/>
              <w:right w:val="single" w:sz="4" w:space="0" w:color="CCCCCC"/>
            </w:tcBorders>
            <w:shd w:val="clear" w:color="auto" w:fill="1F4E79"/>
            <w:vAlign w:val="center"/>
          </w:tcPr>
          <w:p w14:paraId="04304188" w14:textId="77777777" w:rsidR="00F81FB6" w:rsidRDefault="00571C04">
            <w:pPr>
              <w:spacing w:before="60" w:after="60"/>
              <w:jc w:val="center"/>
            </w:pPr>
            <w:r>
              <w:rPr>
                <w:b/>
                <w:bCs/>
                <w:color w:val="FFFFFF"/>
                <w:sz w:val="20"/>
                <w:szCs w:val="20"/>
              </w:rPr>
              <w:t>Score</w:t>
            </w:r>
          </w:p>
        </w:tc>
        <w:tc>
          <w:tcPr>
            <w:tcW w:w="1000" w:type="dxa"/>
            <w:tcBorders>
              <w:top w:val="single" w:sz="4" w:space="0" w:color="CCCCCC"/>
              <w:left w:val="single" w:sz="4" w:space="0" w:color="CCCCCC"/>
              <w:bottom w:val="single" w:sz="4" w:space="0" w:color="CCCCCC"/>
              <w:right w:val="single" w:sz="4" w:space="0" w:color="CCCCCC"/>
            </w:tcBorders>
            <w:shd w:val="clear" w:color="auto" w:fill="1F4E79"/>
            <w:vAlign w:val="center"/>
          </w:tcPr>
          <w:p w14:paraId="4A4EB46E" w14:textId="77777777" w:rsidR="00F81FB6" w:rsidRDefault="00571C04">
            <w:pPr>
              <w:spacing w:before="60" w:after="60"/>
              <w:jc w:val="center"/>
            </w:pPr>
            <w:r>
              <w:rPr>
                <w:b/>
                <w:bCs/>
                <w:color w:val="FFFFFF"/>
                <w:sz w:val="20"/>
                <w:szCs w:val="20"/>
              </w:rPr>
              <w:t>Level</w:t>
            </w:r>
          </w:p>
        </w:tc>
        <w:tc>
          <w:tcPr>
            <w:tcW w:w="7660" w:type="dxa"/>
            <w:tcBorders>
              <w:top w:val="single" w:sz="4" w:space="0" w:color="CCCCCC"/>
              <w:left w:val="single" w:sz="4" w:space="0" w:color="CCCCCC"/>
              <w:bottom w:val="single" w:sz="4" w:space="0" w:color="CCCCCC"/>
              <w:right w:val="single" w:sz="4" w:space="0" w:color="CCCCCC"/>
            </w:tcBorders>
            <w:shd w:val="clear" w:color="auto" w:fill="1F4E79"/>
            <w:vAlign w:val="center"/>
          </w:tcPr>
          <w:p w14:paraId="486CB860" w14:textId="77777777" w:rsidR="00F81FB6" w:rsidRDefault="00571C04">
            <w:pPr>
              <w:spacing w:before="60" w:after="60"/>
              <w:jc w:val="center"/>
            </w:pPr>
            <w:r>
              <w:rPr>
                <w:b/>
                <w:bCs/>
                <w:color w:val="FFFFFF"/>
                <w:sz w:val="20"/>
                <w:szCs w:val="20"/>
              </w:rPr>
              <w:t>Criteria — Quality / Performance History (20% · 80 pts)</w:t>
            </w:r>
          </w:p>
        </w:tc>
      </w:tr>
      <w:tr w:rsidR="00F81FB6" w14:paraId="5EC1C283"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E8F5E9"/>
            <w:vAlign w:val="center"/>
          </w:tcPr>
          <w:p w14:paraId="6A17EBE8" w14:textId="77777777" w:rsidR="00F81FB6" w:rsidRDefault="00571C04">
            <w:pPr>
              <w:spacing w:before="60" w:after="60"/>
              <w:jc w:val="center"/>
            </w:pPr>
            <w:r>
              <w:rPr>
                <w:b/>
                <w:bCs/>
                <w:color w:val="1A7432"/>
                <w:sz w:val="24"/>
                <w:szCs w:val="24"/>
              </w:rPr>
              <w:t>4</w:t>
            </w:r>
          </w:p>
        </w:tc>
        <w:tc>
          <w:tcPr>
            <w:tcW w:w="1000" w:type="dxa"/>
            <w:tcBorders>
              <w:top w:val="single" w:sz="4" w:space="0" w:color="CCCCCC"/>
              <w:left w:val="single" w:sz="4" w:space="0" w:color="CCCCCC"/>
              <w:bottom w:val="single" w:sz="4" w:space="0" w:color="CCCCCC"/>
              <w:right w:val="single" w:sz="4" w:space="0" w:color="CCCCCC"/>
            </w:tcBorders>
            <w:shd w:val="clear" w:color="auto" w:fill="E8F5E9"/>
            <w:vAlign w:val="center"/>
          </w:tcPr>
          <w:p w14:paraId="32C210C1" w14:textId="77777777" w:rsidR="00F81FB6" w:rsidRDefault="00571C04">
            <w:pPr>
              <w:spacing w:before="60" w:after="60"/>
              <w:jc w:val="center"/>
            </w:pPr>
            <w:r>
              <w:rPr>
                <w:b/>
                <w:bCs/>
                <w:color w:val="1A7432"/>
                <w:sz w:val="20"/>
                <w:szCs w:val="20"/>
              </w:rPr>
              <w:t>Excellent</w:t>
            </w:r>
          </w:p>
        </w:tc>
        <w:tc>
          <w:tcPr>
            <w:tcW w:w="7660" w:type="dxa"/>
            <w:tcBorders>
              <w:top w:val="single" w:sz="4" w:space="0" w:color="CCCCCC"/>
              <w:left w:val="single" w:sz="4" w:space="0" w:color="CCCCCC"/>
              <w:bottom w:val="single" w:sz="4" w:space="0" w:color="CCCCCC"/>
              <w:right w:val="single" w:sz="4" w:space="0" w:color="CCCCCC"/>
            </w:tcBorders>
            <w:shd w:val="clear" w:color="auto" w:fill="E8F5E9"/>
          </w:tcPr>
          <w:p w14:paraId="5A097E0D" w14:textId="77777777" w:rsidR="00F81FB6" w:rsidRDefault="00571C04">
            <w:pPr>
              <w:pStyle w:val="ListParagraph"/>
              <w:numPr>
                <w:ilvl w:val="0"/>
                <w:numId w:val="2"/>
              </w:numPr>
              <w:spacing w:after="30"/>
            </w:pPr>
            <w:r>
              <w:rPr>
                <w:sz w:val="19"/>
                <w:szCs w:val="19"/>
              </w:rPr>
              <w:t>On-time delivery rate &gt;98% (FTL/LTL); &gt;97% (last-mile) — verified by 3 years of data</w:t>
            </w:r>
          </w:p>
          <w:p w14:paraId="39358C91" w14:textId="77777777" w:rsidR="00F81FB6" w:rsidRDefault="00571C04">
            <w:pPr>
              <w:pStyle w:val="ListParagraph"/>
              <w:numPr>
                <w:ilvl w:val="0"/>
                <w:numId w:val="2"/>
              </w:numPr>
              <w:spacing w:after="30"/>
            </w:pPr>
            <w:r>
              <w:rPr>
                <w:sz w:val="19"/>
                <w:szCs w:val="19"/>
              </w:rPr>
              <w:t>Freight damage rate &lt;0.1% of shipments; freight loss rate &lt;0.05% of shipments</w:t>
            </w:r>
          </w:p>
          <w:p w14:paraId="565E7A54" w14:textId="77777777" w:rsidR="00F81FB6" w:rsidRDefault="00571C04">
            <w:pPr>
              <w:pStyle w:val="ListParagraph"/>
              <w:numPr>
                <w:ilvl w:val="0"/>
                <w:numId w:val="2"/>
              </w:numPr>
              <w:spacing w:after="30"/>
            </w:pPr>
            <w:r>
              <w:rPr>
                <w:sz w:val="19"/>
                <w:szCs w:val="19"/>
              </w:rPr>
              <w:t>Inventory accuracy &gt;99.5% (warehousing); pick accuracy &gt;99.8%</w:t>
            </w:r>
          </w:p>
          <w:p w14:paraId="0187D8B0" w14:textId="77777777" w:rsidR="00F81FB6" w:rsidRDefault="00571C04">
            <w:pPr>
              <w:pStyle w:val="ListParagraph"/>
              <w:numPr>
                <w:ilvl w:val="0"/>
                <w:numId w:val="2"/>
              </w:numPr>
              <w:spacing w:after="30"/>
            </w:pPr>
            <w:r>
              <w:rPr>
                <w:sz w:val="19"/>
                <w:szCs w:val="19"/>
              </w:rPr>
              <w:t>Order fulfillment cycle time &lt;4</w:t>
            </w:r>
            <w:r>
              <w:rPr>
                <w:sz w:val="19"/>
                <w:szCs w:val="19"/>
              </w:rPr>
              <w:t xml:space="preserve"> hours from order receipt to shipment release</w:t>
            </w:r>
          </w:p>
          <w:p w14:paraId="53908831" w14:textId="77777777" w:rsidR="00F81FB6" w:rsidRDefault="00571C04">
            <w:pPr>
              <w:pStyle w:val="ListParagraph"/>
              <w:numPr>
                <w:ilvl w:val="0"/>
                <w:numId w:val="2"/>
              </w:numPr>
              <w:spacing w:after="30"/>
            </w:pPr>
            <w:r>
              <w:rPr>
                <w:sz w:val="19"/>
                <w:szCs w:val="19"/>
              </w:rPr>
              <w:t>Claims resolution average &lt;5 business days; claims ratio &lt;0.5% of shipment value</w:t>
            </w:r>
          </w:p>
          <w:p w14:paraId="6AC598BD" w14:textId="77777777" w:rsidR="00F81FB6" w:rsidRDefault="00571C04">
            <w:pPr>
              <w:pStyle w:val="ListParagraph"/>
              <w:numPr>
                <w:ilvl w:val="0"/>
                <w:numId w:val="2"/>
              </w:numPr>
              <w:spacing w:after="30"/>
            </w:pPr>
            <w:r>
              <w:rPr>
                <w:sz w:val="19"/>
                <w:szCs w:val="19"/>
              </w:rPr>
              <w:t>Client retention rate &gt;90% over past 3 years; verified references from comparable-scale clients</w:t>
            </w:r>
          </w:p>
          <w:p w14:paraId="39818744" w14:textId="77777777" w:rsidR="00F81FB6" w:rsidRDefault="00571C04">
            <w:pPr>
              <w:pStyle w:val="ListParagraph"/>
              <w:numPr>
                <w:ilvl w:val="0"/>
                <w:numId w:val="2"/>
              </w:numPr>
              <w:spacing w:after="30"/>
            </w:pPr>
            <w:r>
              <w:rPr>
                <w:sz w:val="19"/>
                <w:szCs w:val="19"/>
              </w:rPr>
              <w:t>CPI &gt;0.95 and SPI &gt;0.95 on all ma</w:t>
            </w:r>
            <w:r>
              <w:rPr>
                <w:sz w:val="19"/>
                <w:szCs w:val="19"/>
              </w:rPr>
              <w:t>jor contract engagements reviewed</w:t>
            </w:r>
          </w:p>
          <w:p w14:paraId="392F183E" w14:textId="77777777" w:rsidR="00F81FB6" w:rsidRDefault="00571C04">
            <w:pPr>
              <w:pStyle w:val="ListParagraph"/>
              <w:numPr>
                <w:ilvl w:val="0"/>
                <w:numId w:val="2"/>
              </w:numPr>
              <w:spacing w:after="30"/>
            </w:pPr>
            <w:r>
              <w:rPr>
                <w:sz w:val="19"/>
                <w:szCs w:val="19"/>
              </w:rPr>
              <w:t>Tender acceptance rate &gt;95%; demonstrated capacity reliability during peak periods</w:t>
            </w:r>
          </w:p>
        </w:tc>
      </w:tr>
      <w:tr w:rsidR="00F81FB6" w14:paraId="7C257961"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F1F8E9"/>
            <w:vAlign w:val="center"/>
          </w:tcPr>
          <w:p w14:paraId="4A4FFA13" w14:textId="77777777" w:rsidR="00F81FB6" w:rsidRDefault="00571C04">
            <w:pPr>
              <w:spacing w:before="60" w:after="60"/>
              <w:jc w:val="center"/>
            </w:pPr>
            <w:r>
              <w:rPr>
                <w:b/>
                <w:bCs/>
                <w:color w:val="558B2F"/>
                <w:sz w:val="24"/>
                <w:szCs w:val="24"/>
              </w:rPr>
              <w:t>3</w:t>
            </w:r>
          </w:p>
        </w:tc>
        <w:tc>
          <w:tcPr>
            <w:tcW w:w="1000" w:type="dxa"/>
            <w:tcBorders>
              <w:top w:val="single" w:sz="4" w:space="0" w:color="CCCCCC"/>
              <w:left w:val="single" w:sz="4" w:space="0" w:color="CCCCCC"/>
              <w:bottom w:val="single" w:sz="4" w:space="0" w:color="CCCCCC"/>
              <w:right w:val="single" w:sz="4" w:space="0" w:color="CCCCCC"/>
            </w:tcBorders>
            <w:shd w:val="clear" w:color="auto" w:fill="F1F8E9"/>
            <w:vAlign w:val="center"/>
          </w:tcPr>
          <w:p w14:paraId="7939869D" w14:textId="77777777" w:rsidR="00F81FB6" w:rsidRDefault="00571C04">
            <w:pPr>
              <w:spacing w:before="60" w:after="60"/>
              <w:jc w:val="center"/>
            </w:pPr>
            <w:r>
              <w:rPr>
                <w:b/>
                <w:bCs/>
                <w:color w:val="558B2F"/>
                <w:sz w:val="20"/>
                <w:szCs w:val="20"/>
              </w:rPr>
              <w:t>Good</w:t>
            </w:r>
          </w:p>
        </w:tc>
        <w:tc>
          <w:tcPr>
            <w:tcW w:w="7660" w:type="dxa"/>
            <w:tcBorders>
              <w:top w:val="single" w:sz="4" w:space="0" w:color="CCCCCC"/>
              <w:left w:val="single" w:sz="4" w:space="0" w:color="CCCCCC"/>
              <w:bottom w:val="single" w:sz="4" w:space="0" w:color="CCCCCC"/>
              <w:right w:val="single" w:sz="4" w:space="0" w:color="CCCCCC"/>
            </w:tcBorders>
            <w:shd w:val="clear" w:color="auto" w:fill="F1F8E9"/>
          </w:tcPr>
          <w:p w14:paraId="2EEE1B77" w14:textId="77777777" w:rsidR="00F81FB6" w:rsidRDefault="00571C04">
            <w:pPr>
              <w:pStyle w:val="ListParagraph"/>
              <w:numPr>
                <w:ilvl w:val="0"/>
                <w:numId w:val="2"/>
              </w:numPr>
              <w:spacing w:after="30"/>
            </w:pPr>
            <w:r>
              <w:rPr>
                <w:sz w:val="19"/>
                <w:szCs w:val="19"/>
              </w:rPr>
              <w:t>On-time delivery rate 95–98% (FTL/LTL); 93–97% (last-mile)</w:t>
            </w:r>
          </w:p>
          <w:p w14:paraId="7FA06364" w14:textId="77777777" w:rsidR="00F81FB6" w:rsidRDefault="00571C04">
            <w:pPr>
              <w:pStyle w:val="ListParagraph"/>
              <w:numPr>
                <w:ilvl w:val="0"/>
                <w:numId w:val="2"/>
              </w:numPr>
              <w:spacing w:after="30"/>
            </w:pPr>
            <w:r>
              <w:rPr>
                <w:sz w:val="19"/>
                <w:szCs w:val="19"/>
              </w:rPr>
              <w:t>Freight damage rate 0.1–0.5%; freight loss rate 0.05–0.1%</w:t>
            </w:r>
          </w:p>
          <w:p w14:paraId="4711F840" w14:textId="77777777" w:rsidR="00F81FB6" w:rsidRDefault="00571C04">
            <w:pPr>
              <w:pStyle w:val="ListParagraph"/>
              <w:numPr>
                <w:ilvl w:val="0"/>
                <w:numId w:val="2"/>
              </w:numPr>
              <w:spacing w:after="30"/>
            </w:pPr>
            <w:r>
              <w:rPr>
                <w:sz w:val="19"/>
                <w:szCs w:val="19"/>
              </w:rPr>
              <w:t>Inventory accuracy 98–99.5%; pick accuracy 99–99.8%</w:t>
            </w:r>
          </w:p>
          <w:p w14:paraId="176D9215" w14:textId="77777777" w:rsidR="00F81FB6" w:rsidRDefault="00571C04">
            <w:pPr>
              <w:pStyle w:val="ListParagraph"/>
              <w:numPr>
                <w:ilvl w:val="0"/>
                <w:numId w:val="2"/>
              </w:numPr>
              <w:spacing w:after="30"/>
            </w:pPr>
            <w:r>
              <w:rPr>
                <w:sz w:val="19"/>
                <w:szCs w:val="19"/>
              </w:rPr>
              <w:t>Order fulfillment cycle time 4–8 hours; claims resolution 5–10 business days</w:t>
            </w:r>
          </w:p>
          <w:p w14:paraId="6189F982" w14:textId="77777777" w:rsidR="00F81FB6" w:rsidRDefault="00571C04">
            <w:pPr>
              <w:pStyle w:val="ListParagraph"/>
              <w:numPr>
                <w:ilvl w:val="0"/>
                <w:numId w:val="2"/>
              </w:numPr>
              <w:spacing w:after="30"/>
            </w:pPr>
            <w:r>
              <w:rPr>
                <w:sz w:val="19"/>
                <w:szCs w:val="19"/>
              </w:rPr>
              <w:t>Client retention rate 75–90%; strong reference base with documented p</w:t>
            </w:r>
            <w:r>
              <w:rPr>
                <w:sz w:val="19"/>
                <w:szCs w:val="19"/>
              </w:rPr>
              <w:t>erformance data</w:t>
            </w:r>
          </w:p>
          <w:p w14:paraId="0535CDD1" w14:textId="77777777" w:rsidR="00F81FB6" w:rsidRDefault="00571C04">
            <w:pPr>
              <w:pStyle w:val="ListParagraph"/>
              <w:numPr>
                <w:ilvl w:val="0"/>
                <w:numId w:val="2"/>
              </w:numPr>
              <w:spacing w:after="30"/>
            </w:pPr>
            <w:r>
              <w:rPr>
                <w:sz w:val="19"/>
                <w:szCs w:val="19"/>
              </w:rPr>
              <w:t>CPI 0.90–0.95 and SPI 0.90–0.95; tender acceptance rate 90–95%</w:t>
            </w:r>
          </w:p>
        </w:tc>
      </w:tr>
      <w:tr w:rsidR="00F81FB6" w14:paraId="285BEE4D"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FFF8E1"/>
            <w:vAlign w:val="center"/>
          </w:tcPr>
          <w:p w14:paraId="44AE6FC1" w14:textId="77777777" w:rsidR="00F81FB6" w:rsidRDefault="00571C04">
            <w:pPr>
              <w:spacing w:before="60" w:after="60"/>
              <w:jc w:val="center"/>
            </w:pPr>
            <w:r>
              <w:rPr>
                <w:b/>
                <w:bCs/>
                <w:color w:val="F57F17"/>
                <w:sz w:val="24"/>
                <w:szCs w:val="24"/>
              </w:rPr>
              <w:t>2</w:t>
            </w:r>
          </w:p>
        </w:tc>
        <w:tc>
          <w:tcPr>
            <w:tcW w:w="1000" w:type="dxa"/>
            <w:tcBorders>
              <w:top w:val="single" w:sz="4" w:space="0" w:color="CCCCCC"/>
              <w:left w:val="single" w:sz="4" w:space="0" w:color="CCCCCC"/>
              <w:bottom w:val="single" w:sz="4" w:space="0" w:color="CCCCCC"/>
              <w:right w:val="single" w:sz="4" w:space="0" w:color="CCCCCC"/>
            </w:tcBorders>
            <w:shd w:val="clear" w:color="auto" w:fill="FFF8E1"/>
            <w:vAlign w:val="center"/>
          </w:tcPr>
          <w:p w14:paraId="73022025" w14:textId="77777777" w:rsidR="00F81FB6" w:rsidRDefault="00571C04">
            <w:pPr>
              <w:spacing w:before="60" w:after="60"/>
              <w:jc w:val="center"/>
            </w:pPr>
            <w:r>
              <w:rPr>
                <w:b/>
                <w:bCs/>
                <w:color w:val="F57F17"/>
                <w:sz w:val="20"/>
                <w:szCs w:val="20"/>
              </w:rPr>
              <w:t>Fair</w:t>
            </w:r>
          </w:p>
        </w:tc>
        <w:tc>
          <w:tcPr>
            <w:tcW w:w="7660" w:type="dxa"/>
            <w:tcBorders>
              <w:top w:val="single" w:sz="4" w:space="0" w:color="CCCCCC"/>
              <w:left w:val="single" w:sz="4" w:space="0" w:color="CCCCCC"/>
              <w:bottom w:val="single" w:sz="4" w:space="0" w:color="CCCCCC"/>
              <w:right w:val="single" w:sz="4" w:space="0" w:color="CCCCCC"/>
            </w:tcBorders>
            <w:shd w:val="clear" w:color="auto" w:fill="FFF8E1"/>
          </w:tcPr>
          <w:p w14:paraId="33980DE6" w14:textId="77777777" w:rsidR="00F81FB6" w:rsidRDefault="00571C04">
            <w:pPr>
              <w:pStyle w:val="ListParagraph"/>
              <w:numPr>
                <w:ilvl w:val="0"/>
                <w:numId w:val="2"/>
              </w:numPr>
              <w:spacing w:after="30"/>
            </w:pPr>
            <w:r>
              <w:rPr>
                <w:sz w:val="19"/>
                <w:szCs w:val="19"/>
              </w:rPr>
              <w:t>On-time delivery rate 90–95%; freight damage rate 0.5–1.0%; freight loss rate 0.1–0.5%</w:t>
            </w:r>
          </w:p>
          <w:p w14:paraId="6B59FE1A" w14:textId="77777777" w:rsidR="00F81FB6" w:rsidRDefault="00571C04">
            <w:pPr>
              <w:pStyle w:val="ListParagraph"/>
              <w:numPr>
                <w:ilvl w:val="0"/>
                <w:numId w:val="2"/>
              </w:numPr>
              <w:spacing w:after="30"/>
            </w:pPr>
            <w:r>
              <w:rPr>
                <w:sz w:val="19"/>
                <w:szCs w:val="19"/>
              </w:rPr>
              <w:t>Inventory accuracy 95–98%; pick accuracy 97–99%; fulfillment cycle time 8–24 hours</w:t>
            </w:r>
          </w:p>
          <w:p w14:paraId="76762B92" w14:textId="77777777" w:rsidR="00F81FB6" w:rsidRDefault="00571C04">
            <w:pPr>
              <w:pStyle w:val="ListParagraph"/>
              <w:numPr>
                <w:ilvl w:val="0"/>
                <w:numId w:val="2"/>
              </w:numPr>
              <w:spacing w:after="30"/>
            </w:pPr>
            <w:r>
              <w:rPr>
                <w:sz w:val="19"/>
                <w:szCs w:val="19"/>
              </w:rPr>
              <w:t>Claims resolution 10–20 business days; elevated claims ratio</w:t>
            </w:r>
          </w:p>
          <w:p w14:paraId="2E727142" w14:textId="77777777" w:rsidR="00F81FB6" w:rsidRDefault="00571C04">
            <w:pPr>
              <w:pStyle w:val="ListParagraph"/>
              <w:numPr>
                <w:ilvl w:val="0"/>
                <w:numId w:val="2"/>
              </w:numPr>
              <w:spacing w:after="30"/>
            </w:pPr>
            <w:r>
              <w:rPr>
                <w:sz w:val="19"/>
                <w:szCs w:val="19"/>
              </w:rPr>
              <w:t>Client retention rate 60–</w:t>
            </w:r>
            <w:r>
              <w:rPr>
                <w:sz w:val="19"/>
                <w:szCs w:val="19"/>
              </w:rPr>
              <w:t>75%; mixed reference feedback</w:t>
            </w:r>
          </w:p>
          <w:p w14:paraId="776FB622" w14:textId="77777777" w:rsidR="00F81FB6" w:rsidRDefault="00571C04">
            <w:pPr>
              <w:pStyle w:val="ListParagraph"/>
              <w:numPr>
                <w:ilvl w:val="0"/>
                <w:numId w:val="2"/>
              </w:numPr>
              <w:spacing w:after="30"/>
            </w:pPr>
            <w:r>
              <w:rPr>
                <w:sz w:val="19"/>
                <w:szCs w:val="19"/>
              </w:rPr>
              <w:t>CPI 0.85–0.90 and SPI 0.85–0.90; tender acceptance rate 85–90%</w:t>
            </w:r>
          </w:p>
          <w:p w14:paraId="13AB294B" w14:textId="77777777" w:rsidR="00F81FB6" w:rsidRDefault="00571C04">
            <w:pPr>
              <w:pStyle w:val="ListParagraph"/>
              <w:numPr>
                <w:ilvl w:val="0"/>
                <w:numId w:val="2"/>
              </w:numPr>
              <w:spacing w:after="30"/>
            </w:pPr>
            <w:r>
              <w:rPr>
                <w:sz w:val="19"/>
                <w:szCs w:val="19"/>
              </w:rPr>
              <w:t>Performance improvement trends visible but not yet at benchmark levels</w:t>
            </w:r>
          </w:p>
        </w:tc>
      </w:tr>
      <w:tr w:rsidR="00F81FB6" w14:paraId="1019AB84"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FFEBEE"/>
            <w:vAlign w:val="center"/>
          </w:tcPr>
          <w:p w14:paraId="69D1C175" w14:textId="77777777" w:rsidR="00F81FB6" w:rsidRDefault="00571C04">
            <w:pPr>
              <w:spacing w:before="60" w:after="60"/>
              <w:jc w:val="center"/>
            </w:pPr>
            <w:r>
              <w:rPr>
                <w:b/>
                <w:bCs/>
                <w:color w:val="C00000"/>
                <w:sz w:val="24"/>
                <w:szCs w:val="24"/>
              </w:rPr>
              <w:t>1</w:t>
            </w:r>
          </w:p>
        </w:tc>
        <w:tc>
          <w:tcPr>
            <w:tcW w:w="1000" w:type="dxa"/>
            <w:tcBorders>
              <w:top w:val="single" w:sz="4" w:space="0" w:color="CCCCCC"/>
              <w:left w:val="single" w:sz="4" w:space="0" w:color="CCCCCC"/>
              <w:bottom w:val="single" w:sz="4" w:space="0" w:color="CCCCCC"/>
              <w:right w:val="single" w:sz="4" w:space="0" w:color="CCCCCC"/>
            </w:tcBorders>
            <w:shd w:val="clear" w:color="auto" w:fill="FFEBEE"/>
            <w:vAlign w:val="center"/>
          </w:tcPr>
          <w:p w14:paraId="2EF79C44" w14:textId="77777777" w:rsidR="00F81FB6" w:rsidRDefault="00571C04">
            <w:pPr>
              <w:spacing w:before="60" w:after="60"/>
              <w:jc w:val="center"/>
            </w:pPr>
            <w:r>
              <w:rPr>
                <w:b/>
                <w:bCs/>
                <w:color w:val="C00000"/>
                <w:sz w:val="20"/>
                <w:szCs w:val="20"/>
              </w:rPr>
              <w:t>Poor</w:t>
            </w:r>
          </w:p>
        </w:tc>
        <w:tc>
          <w:tcPr>
            <w:tcW w:w="7660" w:type="dxa"/>
            <w:tcBorders>
              <w:top w:val="single" w:sz="4" w:space="0" w:color="CCCCCC"/>
              <w:left w:val="single" w:sz="4" w:space="0" w:color="CCCCCC"/>
              <w:bottom w:val="single" w:sz="4" w:space="0" w:color="CCCCCC"/>
              <w:right w:val="single" w:sz="4" w:space="0" w:color="CCCCCC"/>
            </w:tcBorders>
            <w:shd w:val="clear" w:color="auto" w:fill="FFEBEE"/>
          </w:tcPr>
          <w:p w14:paraId="6C32B2B8" w14:textId="77777777" w:rsidR="00F81FB6" w:rsidRDefault="00571C04">
            <w:pPr>
              <w:pStyle w:val="ListParagraph"/>
              <w:numPr>
                <w:ilvl w:val="0"/>
                <w:numId w:val="2"/>
              </w:numPr>
              <w:spacing w:after="30"/>
            </w:pPr>
            <w:r>
              <w:rPr>
                <w:sz w:val="19"/>
                <w:szCs w:val="19"/>
              </w:rPr>
              <w:t>On-time delivery rate &lt;90%; freight damage rate &gt;1.0%; freight loss rate &gt;0.5%</w:t>
            </w:r>
          </w:p>
          <w:p w14:paraId="6FFF2AC3" w14:textId="77777777" w:rsidR="00F81FB6" w:rsidRDefault="00571C04">
            <w:pPr>
              <w:pStyle w:val="ListParagraph"/>
              <w:numPr>
                <w:ilvl w:val="0"/>
                <w:numId w:val="2"/>
              </w:numPr>
              <w:spacing w:after="30"/>
            </w:pPr>
            <w:r>
              <w:rPr>
                <w:sz w:val="19"/>
                <w:szCs w:val="19"/>
              </w:rPr>
              <w:t>Inventory accuracy &lt;95%; pick accuracy &lt;97%; fulfillment cycle time &gt;24 hours</w:t>
            </w:r>
          </w:p>
          <w:p w14:paraId="2B1866AA" w14:textId="77777777" w:rsidR="00F81FB6" w:rsidRDefault="00571C04">
            <w:pPr>
              <w:pStyle w:val="ListParagraph"/>
              <w:numPr>
                <w:ilvl w:val="0"/>
                <w:numId w:val="2"/>
              </w:numPr>
              <w:spacing w:after="30"/>
            </w:pPr>
            <w:r>
              <w:rPr>
                <w:sz w:val="19"/>
                <w:szCs w:val="19"/>
              </w:rPr>
              <w:t>Claims resolution &gt;20 business days; unresolved disputes with prior clients</w:t>
            </w:r>
          </w:p>
          <w:p w14:paraId="622749EB" w14:textId="77777777" w:rsidR="00F81FB6" w:rsidRDefault="00571C04">
            <w:pPr>
              <w:pStyle w:val="ListParagraph"/>
              <w:numPr>
                <w:ilvl w:val="0"/>
                <w:numId w:val="2"/>
              </w:numPr>
              <w:spacing w:after="30"/>
            </w:pPr>
            <w:r>
              <w:rPr>
                <w:sz w:val="19"/>
                <w:szCs w:val="19"/>
              </w:rPr>
              <w:t>Client retention rate &lt;</w:t>
            </w:r>
            <w:r>
              <w:rPr>
                <w:sz w:val="19"/>
                <w:szCs w:val="19"/>
              </w:rPr>
              <w:t>60%; negative reference feedback or inability to provide references</w:t>
            </w:r>
          </w:p>
          <w:p w14:paraId="184BA520" w14:textId="77777777" w:rsidR="00F81FB6" w:rsidRDefault="00571C04">
            <w:pPr>
              <w:pStyle w:val="ListParagraph"/>
              <w:numPr>
                <w:ilvl w:val="0"/>
                <w:numId w:val="2"/>
              </w:numPr>
              <w:spacing w:after="30"/>
            </w:pPr>
            <w:r>
              <w:rPr>
                <w:sz w:val="19"/>
                <w:szCs w:val="19"/>
              </w:rPr>
              <w:t>CPI &lt;0.85 or SPI &lt;0.85; tender acceptance rate &lt;85%</w:t>
            </w:r>
          </w:p>
          <w:p w14:paraId="290A6D8E" w14:textId="77777777" w:rsidR="00F81FB6" w:rsidRDefault="00571C04">
            <w:pPr>
              <w:pStyle w:val="ListParagraph"/>
              <w:numPr>
                <w:ilvl w:val="0"/>
                <w:numId w:val="2"/>
              </w:numPr>
              <w:spacing w:after="30"/>
            </w:pPr>
            <w:r>
              <w:rPr>
                <w:sz w:val="19"/>
                <w:szCs w:val="19"/>
              </w:rPr>
              <w:t>No documented performance improvement plan; declining performance trend</w:t>
            </w:r>
          </w:p>
        </w:tc>
      </w:tr>
    </w:tbl>
    <w:p w14:paraId="43D5B301" w14:textId="77777777" w:rsidR="00F81FB6" w:rsidRDefault="00F81FB6">
      <w:pPr>
        <w:spacing w:after="140"/>
      </w:pPr>
    </w:p>
    <w:p w14:paraId="78411536" w14:textId="77777777" w:rsidR="00F81FB6" w:rsidRDefault="00571C04">
      <w:pPr>
        <w:pStyle w:val="SubHeader"/>
      </w:pPr>
      <w:r>
        <w:t>C.4  Operational Capacity  —  20% Weight  ·  60 Points Maximum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1000"/>
        <w:gridCol w:w="7660"/>
      </w:tblGrid>
      <w:tr w:rsidR="00F81FB6" w14:paraId="1D97B7EB" w14:textId="77777777">
        <w:tblPrEx>
          <w:tblCellMar>
            <w:top w:w="0" w:type="dxa"/>
            <w:bottom w:w="0" w:type="dxa"/>
          </w:tblCellMar>
        </w:tblPrEx>
        <w:trPr>
          <w:tblHeader/>
        </w:trPr>
        <w:tc>
          <w:tcPr>
            <w:tcW w:w="700" w:type="dxa"/>
            <w:tcBorders>
              <w:top w:val="single" w:sz="4" w:space="0" w:color="CCCCCC"/>
              <w:left w:val="single" w:sz="4" w:space="0" w:color="CCCCCC"/>
              <w:bottom w:val="single" w:sz="4" w:space="0" w:color="CCCCCC"/>
              <w:right w:val="single" w:sz="4" w:space="0" w:color="CCCCCC"/>
            </w:tcBorders>
            <w:shd w:val="clear" w:color="auto" w:fill="1F4E79"/>
            <w:vAlign w:val="center"/>
          </w:tcPr>
          <w:p w14:paraId="73D7AF60" w14:textId="77777777" w:rsidR="00F81FB6" w:rsidRDefault="00571C04">
            <w:pPr>
              <w:spacing w:before="60" w:after="60"/>
              <w:jc w:val="center"/>
            </w:pPr>
            <w:r>
              <w:rPr>
                <w:b/>
                <w:bCs/>
                <w:color w:val="FFFFFF"/>
                <w:sz w:val="20"/>
                <w:szCs w:val="20"/>
              </w:rPr>
              <w:t>Score</w:t>
            </w:r>
          </w:p>
        </w:tc>
        <w:tc>
          <w:tcPr>
            <w:tcW w:w="1000" w:type="dxa"/>
            <w:tcBorders>
              <w:top w:val="single" w:sz="4" w:space="0" w:color="CCCCCC"/>
              <w:left w:val="single" w:sz="4" w:space="0" w:color="CCCCCC"/>
              <w:bottom w:val="single" w:sz="4" w:space="0" w:color="CCCCCC"/>
              <w:right w:val="single" w:sz="4" w:space="0" w:color="CCCCCC"/>
            </w:tcBorders>
            <w:shd w:val="clear" w:color="auto" w:fill="1F4E79"/>
            <w:vAlign w:val="center"/>
          </w:tcPr>
          <w:p w14:paraId="346FF255" w14:textId="77777777" w:rsidR="00F81FB6" w:rsidRDefault="00571C04">
            <w:pPr>
              <w:spacing w:before="60" w:after="60"/>
              <w:jc w:val="center"/>
            </w:pPr>
            <w:r>
              <w:rPr>
                <w:b/>
                <w:bCs/>
                <w:color w:val="FFFFFF"/>
                <w:sz w:val="20"/>
                <w:szCs w:val="20"/>
              </w:rPr>
              <w:t>Level</w:t>
            </w:r>
          </w:p>
        </w:tc>
        <w:tc>
          <w:tcPr>
            <w:tcW w:w="7660" w:type="dxa"/>
            <w:tcBorders>
              <w:top w:val="single" w:sz="4" w:space="0" w:color="CCCCCC"/>
              <w:left w:val="single" w:sz="4" w:space="0" w:color="CCCCCC"/>
              <w:bottom w:val="single" w:sz="4" w:space="0" w:color="CCCCCC"/>
              <w:right w:val="single" w:sz="4" w:space="0" w:color="CCCCCC"/>
            </w:tcBorders>
            <w:shd w:val="clear" w:color="auto" w:fill="1F4E79"/>
            <w:vAlign w:val="center"/>
          </w:tcPr>
          <w:p w14:paraId="45B0757B" w14:textId="77777777" w:rsidR="00F81FB6" w:rsidRDefault="00571C04">
            <w:pPr>
              <w:spacing w:before="60" w:after="60"/>
              <w:jc w:val="center"/>
            </w:pPr>
            <w:r>
              <w:rPr>
                <w:b/>
                <w:bCs/>
                <w:color w:val="FFFFFF"/>
                <w:sz w:val="20"/>
                <w:szCs w:val="20"/>
              </w:rPr>
              <w:t>Criteria — Operational Capacity (15% · 60 pts)</w:t>
            </w:r>
          </w:p>
        </w:tc>
      </w:tr>
      <w:tr w:rsidR="00F81FB6" w14:paraId="518F204F"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E8F5E9"/>
            <w:vAlign w:val="center"/>
          </w:tcPr>
          <w:p w14:paraId="607769BE" w14:textId="77777777" w:rsidR="00F81FB6" w:rsidRDefault="00571C04">
            <w:pPr>
              <w:spacing w:before="60" w:after="60"/>
              <w:jc w:val="center"/>
            </w:pPr>
            <w:r>
              <w:rPr>
                <w:b/>
                <w:bCs/>
                <w:color w:val="1A7432"/>
                <w:sz w:val="24"/>
                <w:szCs w:val="24"/>
              </w:rPr>
              <w:t>4</w:t>
            </w:r>
          </w:p>
        </w:tc>
        <w:tc>
          <w:tcPr>
            <w:tcW w:w="1000" w:type="dxa"/>
            <w:tcBorders>
              <w:top w:val="single" w:sz="4" w:space="0" w:color="CCCCCC"/>
              <w:left w:val="single" w:sz="4" w:space="0" w:color="CCCCCC"/>
              <w:bottom w:val="single" w:sz="4" w:space="0" w:color="CCCCCC"/>
              <w:right w:val="single" w:sz="4" w:space="0" w:color="CCCCCC"/>
            </w:tcBorders>
            <w:shd w:val="clear" w:color="auto" w:fill="E8F5E9"/>
            <w:vAlign w:val="center"/>
          </w:tcPr>
          <w:p w14:paraId="602080C7" w14:textId="77777777" w:rsidR="00F81FB6" w:rsidRDefault="00571C04">
            <w:pPr>
              <w:spacing w:before="60" w:after="60"/>
              <w:jc w:val="center"/>
            </w:pPr>
            <w:r>
              <w:rPr>
                <w:b/>
                <w:bCs/>
                <w:color w:val="1A7432"/>
                <w:sz w:val="20"/>
                <w:szCs w:val="20"/>
              </w:rPr>
              <w:t>Excellent</w:t>
            </w:r>
          </w:p>
        </w:tc>
        <w:tc>
          <w:tcPr>
            <w:tcW w:w="7660" w:type="dxa"/>
            <w:tcBorders>
              <w:top w:val="single" w:sz="4" w:space="0" w:color="CCCCCC"/>
              <w:left w:val="single" w:sz="4" w:space="0" w:color="CCCCCC"/>
              <w:bottom w:val="single" w:sz="4" w:space="0" w:color="CCCCCC"/>
              <w:right w:val="single" w:sz="4" w:space="0" w:color="CCCCCC"/>
            </w:tcBorders>
            <w:shd w:val="clear" w:color="auto" w:fill="E8F5E9"/>
          </w:tcPr>
          <w:p w14:paraId="59F93B91" w14:textId="77777777" w:rsidR="00F81FB6" w:rsidRDefault="00571C04">
            <w:pPr>
              <w:pStyle w:val="ListParagraph"/>
              <w:numPr>
                <w:ilvl w:val="0"/>
                <w:numId w:val="2"/>
              </w:numPr>
              <w:spacing w:after="30"/>
            </w:pPr>
            <w:r>
              <w:rPr>
                <w:sz w:val="19"/>
                <w:szCs w:val="19"/>
              </w:rPr>
              <w:t>Fleet utilization &lt;75%; warehouse utilization &lt;80% — substantial reserve capacity available</w:t>
            </w:r>
          </w:p>
          <w:p w14:paraId="496F0B62" w14:textId="77777777" w:rsidR="00F81FB6" w:rsidRDefault="00571C04">
            <w:pPr>
              <w:pStyle w:val="ListParagraph"/>
              <w:numPr>
                <w:ilvl w:val="0"/>
                <w:numId w:val="2"/>
              </w:numPr>
              <w:spacing w:after="30"/>
            </w:pPr>
            <w:r>
              <w:rPr>
                <w:sz w:val="19"/>
                <w:szCs w:val="19"/>
              </w:rPr>
              <w:t>Deep and qualified driver pool; driver turnover rate &lt;50%; documented driver retention programs</w:t>
            </w:r>
          </w:p>
          <w:p w14:paraId="4414830C" w14:textId="77777777" w:rsidR="00F81FB6" w:rsidRDefault="00571C04">
            <w:pPr>
              <w:pStyle w:val="ListParagraph"/>
              <w:numPr>
                <w:ilvl w:val="0"/>
                <w:numId w:val="2"/>
              </w:numPr>
              <w:spacing w:after="30"/>
            </w:pPr>
            <w:r>
              <w:rPr>
                <w:sz w:val="19"/>
                <w:szCs w:val="19"/>
              </w:rPr>
              <w:t>Proven seasonal scalability with documented peak-period handling (e.</w:t>
            </w:r>
            <w:r>
              <w:rPr>
                <w:sz w:val="19"/>
                <w:szCs w:val="19"/>
              </w:rPr>
              <w:t>g., Q4, holiday surge)</w:t>
            </w:r>
          </w:p>
          <w:p w14:paraId="61F43208" w14:textId="77777777" w:rsidR="00F81FB6" w:rsidRDefault="00571C04">
            <w:pPr>
              <w:pStyle w:val="ListParagraph"/>
              <w:numPr>
                <w:ilvl w:val="0"/>
                <w:numId w:val="2"/>
              </w:numPr>
              <w:spacing w:after="30"/>
            </w:pPr>
            <w:r>
              <w:rPr>
                <w:sz w:val="19"/>
                <w:szCs w:val="19"/>
              </w:rPr>
              <w:t>Established contingency carrier network with signed agreements; no single-point-of-failure risk</w:t>
            </w:r>
          </w:p>
          <w:p w14:paraId="70305277" w14:textId="77777777" w:rsidR="00F81FB6" w:rsidRDefault="00571C04">
            <w:pPr>
              <w:pStyle w:val="ListParagraph"/>
              <w:numPr>
                <w:ilvl w:val="0"/>
                <w:numId w:val="2"/>
              </w:numPr>
              <w:spacing w:after="30"/>
            </w:pPr>
            <w:r>
              <w:rPr>
                <w:sz w:val="19"/>
                <w:szCs w:val="19"/>
              </w:rPr>
              <w:t>Multiple warehouse locations with strategic geographic coverage aligned with WWRGD distribution needs</w:t>
            </w:r>
          </w:p>
          <w:p w14:paraId="08D89F36" w14:textId="77777777" w:rsidR="00F81FB6" w:rsidRDefault="00571C04">
            <w:pPr>
              <w:pStyle w:val="ListParagraph"/>
              <w:numPr>
                <w:ilvl w:val="0"/>
                <w:numId w:val="2"/>
              </w:numPr>
              <w:spacing w:after="30"/>
            </w:pPr>
            <w:r>
              <w:rPr>
                <w:sz w:val="19"/>
                <w:szCs w:val="19"/>
              </w:rPr>
              <w:t>Cold chain capabilities with redund</w:t>
            </w:r>
            <w:r>
              <w:rPr>
                <w:sz w:val="19"/>
                <w:szCs w:val="19"/>
              </w:rPr>
              <w:t>ant refrigeration systems and backup power for temperature-controlled operations</w:t>
            </w:r>
          </w:p>
          <w:p w14:paraId="79609761" w14:textId="77777777" w:rsidR="00F81FB6" w:rsidRDefault="00571C04">
            <w:pPr>
              <w:pStyle w:val="ListParagraph"/>
              <w:numPr>
                <w:ilvl w:val="0"/>
                <w:numId w:val="2"/>
              </w:numPr>
              <w:spacing w:after="30"/>
            </w:pPr>
            <w:r>
              <w:rPr>
                <w:sz w:val="19"/>
                <w:szCs w:val="19"/>
              </w:rPr>
              <w:t>Cross-docking, intermodal, and transloading capabilities; multimodal service offerings</w:t>
            </w:r>
          </w:p>
          <w:p w14:paraId="099C705C" w14:textId="77777777" w:rsidR="00F81FB6" w:rsidRDefault="00571C04">
            <w:pPr>
              <w:pStyle w:val="ListParagraph"/>
              <w:numPr>
                <w:ilvl w:val="0"/>
                <w:numId w:val="2"/>
              </w:numPr>
              <w:spacing w:after="30"/>
            </w:pPr>
            <w:r>
              <w:rPr>
                <w:sz w:val="19"/>
                <w:szCs w:val="19"/>
              </w:rPr>
              <w:t>Fleet age average &lt;5 years; documented preventive maintenance program</w:t>
            </w:r>
          </w:p>
        </w:tc>
      </w:tr>
      <w:tr w:rsidR="00F81FB6" w14:paraId="46E86144"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F1F8E9"/>
            <w:vAlign w:val="center"/>
          </w:tcPr>
          <w:p w14:paraId="7AD75AF3" w14:textId="77777777" w:rsidR="00F81FB6" w:rsidRDefault="00571C04">
            <w:pPr>
              <w:spacing w:before="60" w:after="60"/>
              <w:jc w:val="center"/>
            </w:pPr>
            <w:r>
              <w:rPr>
                <w:b/>
                <w:bCs/>
                <w:color w:val="558B2F"/>
                <w:sz w:val="24"/>
                <w:szCs w:val="24"/>
              </w:rPr>
              <w:t>3</w:t>
            </w:r>
          </w:p>
        </w:tc>
        <w:tc>
          <w:tcPr>
            <w:tcW w:w="1000" w:type="dxa"/>
            <w:tcBorders>
              <w:top w:val="single" w:sz="4" w:space="0" w:color="CCCCCC"/>
              <w:left w:val="single" w:sz="4" w:space="0" w:color="CCCCCC"/>
              <w:bottom w:val="single" w:sz="4" w:space="0" w:color="CCCCCC"/>
              <w:right w:val="single" w:sz="4" w:space="0" w:color="CCCCCC"/>
            </w:tcBorders>
            <w:shd w:val="clear" w:color="auto" w:fill="F1F8E9"/>
            <w:vAlign w:val="center"/>
          </w:tcPr>
          <w:p w14:paraId="32C91DD4" w14:textId="77777777" w:rsidR="00F81FB6" w:rsidRDefault="00571C04">
            <w:pPr>
              <w:spacing w:before="60" w:after="60"/>
              <w:jc w:val="center"/>
            </w:pPr>
            <w:r>
              <w:rPr>
                <w:b/>
                <w:bCs/>
                <w:color w:val="558B2F"/>
                <w:sz w:val="20"/>
                <w:szCs w:val="20"/>
              </w:rPr>
              <w:t>Good</w:t>
            </w:r>
          </w:p>
        </w:tc>
        <w:tc>
          <w:tcPr>
            <w:tcW w:w="7660" w:type="dxa"/>
            <w:tcBorders>
              <w:top w:val="single" w:sz="4" w:space="0" w:color="CCCCCC"/>
              <w:left w:val="single" w:sz="4" w:space="0" w:color="CCCCCC"/>
              <w:bottom w:val="single" w:sz="4" w:space="0" w:color="CCCCCC"/>
              <w:right w:val="single" w:sz="4" w:space="0" w:color="CCCCCC"/>
            </w:tcBorders>
            <w:shd w:val="clear" w:color="auto" w:fill="F1F8E9"/>
          </w:tcPr>
          <w:p w14:paraId="688A2A1A" w14:textId="77777777" w:rsidR="00F81FB6" w:rsidRDefault="00571C04">
            <w:pPr>
              <w:pStyle w:val="ListParagraph"/>
              <w:numPr>
                <w:ilvl w:val="0"/>
                <w:numId w:val="2"/>
              </w:numPr>
              <w:spacing w:after="30"/>
            </w:pPr>
            <w:r>
              <w:rPr>
                <w:sz w:val="19"/>
                <w:szCs w:val="19"/>
              </w:rPr>
              <w:t>Fleet utilization 75–85%; warehouse utilization 80–90% — moderate reserve capacity</w:t>
            </w:r>
          </w:p>
          <w:p w14:paraId="177E0A5A" w14:textId="77777777" w:rsidR="00F81FB6" w:rsidRDefault="00571C04">
            <w:pPr>
              <w:pStyle w:val="ListParagraph"/>
              <w:numPr>
                <w:ilvl w:val="0"/>
                <w:numId w:val="2"/>
              </w:numPr>
              <w:spacing w:after="30"/>
            </w:pPr>
            <w:r>
              <w:rPr>
                <w:sz w:val="19"/>
                <w:szCs w:val="19"/>
              </w:rPr>
              <w:t>Adequate driver pool; driver turnover 50–75%; some driver retention initiatives in place</w:t>
            </w:r>
          </w:p>
          <w:p w14:paraId="595FEF8B" w14:textId="77777777" w:rsidR="00F81FB6" w:rsidRDefault="00571C04">
            <w:pPr>
              <w:pStyle w:val="ListParagraph"/>
              <w:numPr>
                <w:ilvl w:val="0"/>
                <w:numId w:val="2"/>
              </w:numPr>
              <w:spacing w:after="30"/>
            </w:pPr>
            <w:r>
              <w:rPr>
                <w:sz w:val="19"/>
                <w:szCs w:val="19"/>
              </w:rPr>
              <w:t>Documented seasonal flex capacity; history of managing moderate volume surges</w:t>
            </w:r>
          </w:p>
          <w:p w14:paraId="507580F6" w14:textId="77777777" w:rsidR="00F81FB6" w:rsidRDefault="00571C04">
            <w:pPr>
              <w:pStyle w:val="ListParagraph"/>
              <w:numPr>
                <w:ilvl w:val="0"/>
                <w:numId w:val="2"/>
              </w:numPr>
              <w:spacing w:after="30"/>
            </w:pPr>
            <w:r>
              <w:rPr>
                <w:sz w:val="19"/>
                <w:szCs w:val="19"/>
              </w:rPr>
              <w:t>Basic contingency carrier plan; some established backup carrier relationships</w:t>
            </w:r>
          </w:p>
          <w:p w14:paraId="46E13290" w14:textId="77777777" w:rsidR="00F81FB6" w:rsidRDefault="00571C04">
            <w:pPr>
              <w:pStyle w:val="ListParagraph"/>
              <w:numPr>
                <w:ilvl w:val="0"/>
                <w:numId w:val="2"/>
              </w:numPr>
              <w:spacing w:after="30"/>
            </w:pPr>
            <w:r>
              <w:rPr>
                <w:sz w:val="19"/>
                <w:szCs w:val="19"/>
              </w:rPr>
              <w:t>Adequate ge</w:t>
            </w:r>
            <w:r>
              <w:rPr>
                <w:sz w:val="19"/>
                <w:szCs w:val="19"/>
              </w:rPr>
              <w:t>ographic coverage for proposed engagement scope; cold chain capabilities available</w:t>
            </w:r>
          </w:p>
          <w:p w14:paraId="485D85F2" w14:textId="77777777" w:rsidR="00F81FB6" w:rsidRDefault="00571C04">
            <w:pPr>
              <w:pStyle w:val="ListParagraph"/>
              <w:numPr>
                <w:ilvl w:val="0"/>
                <w:numId w:val="2"/>
              </w:numPr>
              <w:spacing w:after="30"/>
            </w:pPr>
            <w:r>
              <w:rPr>
                <w:sz w:val="19"/>
                <w:szCs w:val="19"/>
              </w:rPr>
              <w:t>Fleet age average 5–8 years; standard maintenance program</w:t>
            </w:r>
          </w:p>
        </w:tc>
      </w:tr>
      <w:tr w:rsidR="00F81FB6" w14:paraId="64DE3B57"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FFF8E1"/>
            <w:vAlign w:val="center"/>
          </w:tcPr>
          <w:p w14:paraId="5BE84B10" w14:textId="77777777" w:rsidR="00F81FB6" w:rsidRDefault="00571C04">
            <w:pPr>
              <w:spacing w:before="60" w:after="60"/>
              <w:jc w:val="center"/>
            </w:pPr>
            <w:r>
              <w:rPr>
                <w:b/>
                <w:bCs/>
                <w:color w:val="F57F17"/>
                <w:sz w:val="24"/>
                <w:szCs w:val="24"/>
              </w:rPr>
              <w:t>2</w:t>
            </w:r>
          </w:p>
        </w:tc>
        <w:tc>
          <w:tcPr>
            <w:tcW w:w="1000" w:type="dxa"/>
            <w:tcBorders>
              <w:top w:val="single" w:sz="4" w:space="0" w:color="CCCCCC"/>
              <w:left w:val="single" w:sz="4" w:space="0" w:color="CCCCCC"/>
              <w:bottom w:val="single" w:sz="4" w:space="0" w:color="CCCCCC"/>
              <w:right w:val="single" w:sz="4" w:space="0" w:color="CCCCCC"/>
            </w:tcBorders>
            <w:shd w:val="clear" w:color="auto" w:fill="FFF8E1"/>
            <w:vAlign w:val="center"/>
          </w:tcPr>
          <w:p w14:paraId="79948B16" w14:textId="77777777" w:rsidR="00F81FB6" w:rsidRDefault="00571C04">
            <w:pPr>
              <w:spacing w:before="60" w:after="60"/>
              <w:jc w:val="center"/>
            </w:pPr>
            <w:r>
              <w:rPr>
                <w:b/>
                <w:bCs/>
                <w:color w:val="F57F17"/>
                <w:sz w:val="20"/>
                <w:szCs w:val="20"/>
              </w:rPr>
              <w:t>Fair</w:t>
            </w:r>
          </w:p>
        </w:tc>
        <w:tc>
          <w:tcPr>
            <w:tcW w:w="7660" w:type="dxa"/>
            <w:tcBorders>
              <w:top w:val="single" w:sz="4" w:space="0" w:color="CCCCCC"/>
              <w:left w:val="single" w:sz="4" w:space="0" w:color="CCCCCC"/>
              <w:bottom w:val="single" w:sz="4" w:space="0" w:color="CCCCCC"/>
              <w:right w:val="single" w:sz="4" w:space="0" w:color="CCCCCC"/>
            </w:tcBorders>
            <w:shd w:val="clear" w:color="auto" w:fill="FFF8E1"/>
          </w:tcPr>
          <w:p w14:paraId="52A8C8DF" w14:textId="77777777" w:rsidR="00F81FB6" w:rsidRDefault="00571C04">
            <w:pPr>
              <w:pStyle w:val="ListParagraph"/>
              <w:numPr>
                <w:ilvl w:val="0"/>
                <w:numId w:val="2"/>
              </w:numPr>
              <w:spacing w:after="30"/>
            </w:pPr>
            <w:r>
              <w:rPr>
                <w:sz w:val="19"/>
                <w:szCs w:val="19"/>
              </w:rPr>
              <w:t>Fleet utilization 85–95%; warehouse utilization 90–95% — limited reserve capacity</w:t>
            </w:r>
          </w:p>
          <w:p w14:paraId="302EF2D9" w14:textId="77777777" w:rsidR="00F81FB6" w:rsidRDefault="00571C04">
            <w:pPr>
              <w:pStyle w:val="ListParagraph"/>
              <w:numPr>
                <w:ilvl w:val="0"/>
                <w:numId w:val="2"/>
              </w:numPr>
              <w:spacing w:after="30"/>
            </w:pPr>
            <w:r>
              <w:rPr>
                <w:sz w:val="19"/>
                <w:szCs w:val="19"/>
              </w:rPr>
              <w:t>Limited driver pool; driver turnover 75–100%; retention challenges documented</w:t>
            </w:r>
          </w:p>
          <w:p w14:paraId="14272E86" w14:textId="77777777" w:rsidR="00F81FB6" w:rsidRDefault="00571C04">
            <w:pPr>
              <w:pStyle w:val="ListParagraph"/>
              <w:numPr>
                <w:ilvl w:val="0"/>
                <w:numId w:val="2"/>
              </w:numPr>
              <w:spacing w:after="30"/>
            </w:pPr>
            <w:r>
              <w:rPr>
                <w:sz w:val="19"/>
                <w:szCs w:val="19"/>
              </w:rPr>
              <w:t>Minimal seasonal flex capacity; potential for service failures during peak periods</w:t>
            </w:r>
          </w:p>
          <w:p w14:paraId="3E308D4B" w14:textId="77777777" w:rsidR="00F81FB6" w:rsidRDefault="00571C04">
            <w:pPr>
              <w:pStyle w:val="ListParagraph"/>
              <w:numPr>
                <w:ilvl w:val="0"/>
                <w:numId w:val="2"/>
              </w:numPr>
              <w:spacing w:after="30"/>
            </w:pPr>
            <w:r>
              <w:rPr>
                <w:sz w:val="19"/>
                <w:szCs w:val="19"/>
              </w:rPr>
              <w:t>Limited conti</w:t>
            </w:r>
            <w:r>
              <w:rPr>
                <w:sz w:val="19"/>
                <w:szCs w:val="19"/>
              </w:rPr>
              <w:t>ngency options; informal backup carrier arrangements only</w:t>
            </w:r>
          </w:p>
          <w:p w14:paraId="67A93C14" w14:textId="77777777" w:rsidR="00F81FB6" w:rsidRDefault="00571C04">
            <w:pPr>
              <w:pStyle w:val="ListParagraph"/>
              <w:numPr>
                <w:ilvl w:val="0"/>
                <w:numId w:val="2"/>
              </w:numPr>
              <w:spacing w:after="30"/>
            </w:pPr>
            <w:r>
              <w:rPr>
                <w:sz w:val="19"/>
                <w:szCs w:val="19"/>
              </w:rPr>
              <w:t>Narrow geographic coverage; limited cold chain infrastructure</w:t>
            </w:r>
          </w:p>
          <w:p w14:paraId="6272B031" w14:textId="77777777" w:rsidR="00F81FB6" w:rsidRDefault="00571C04">
            <w:pPr>
              <w:pStyle w:val="ListParagraph"/>
              <w:numPr>
                <w:ilvl w:val="0"/>
                <w:numId w:val="2"/>
              </w:numPr>
              <w:spacing w:after="30"/>
            </w:pPr>
            <w:r>
              <w:rPr>
                <w:sz w:val="19"/>
                <w:szCs w:val="19"/>
              </w:rPr>
              <w:t>Fleet age average 8–12 years; maintenance program gaps identified</w:t>
            </w:r>
          </w:p>
        </w:tc>
      </w:tr>
      <w:tr w:rsidR="00F81FB6" w14:paraId="0F1918D3"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FFEBEE"/>
            <w:vAlign w:val="center"/>
          </w:tcPr>
          <w:p w14:paraId="3C9755E4" w14:textId="77777777" w:rsidR="00F81FB6" w:rsidRDefault="00571C04">
            <w:pPr>
              <w:spacing w:before="60" w:after="60"/>
              <w:jc w:val="center"/>
            </w:pPr>
            <w:r>
              <w:rPr>
                <w:b/>
                <w:bCs/>
                <w:color w:val="C00000"/>
                <w:sz w:val="24"/>
                <w:szCs w:val="24"/>
              </w:rPr>
              <w:t>1</w:t>
            </w:r>
          </w:p>
        </w:tc>
        <w:tc>
          <w:tcPr>
            <w:tcW w:w="1000" w:type="dxa"/>
            <w:tcBorders>
              <w:top w:val="single" w:sz="4" w:space="0" w:color="CCCCCC"/>
              <w:left w:val="single" w:sz="4" w:space="0" w:color="CCCCCC"/>
              <w:bottom w:val="single" w:sz="4" w:space="0" w:color="CCCCCC"/>
              <w:right w:val="single" w:sz="4" w:space="0" w:color="CCCCCC"/>
            </w:tcBorders>
            <w:shd w:val="clear" w:color="auto" w:fill="FFEBEE"/>
            <w:vAlign w:val="center"/>
          </w:tcPr>
          <w:p w14:paraId="14C6EB24" w14:textId="77777777" w:rsidR="00F81FB6" w:rsidRDefault="00571C04">
            <w:pPr>
              <w:spacing w:before="60" w:after="60"/>
              <w:jc w:val="center"/>
            </w:pPr>
            <w:r>
              <w:rPr>
                <w:b/>
                <w:bCs/>
                <w:color w:val="C00000"/>
                <w:sz w:val="20"/>
                <w:szCs w:val="20"/>
              </w:rPr>
              <w:t>Poor</w:t>
            </w:r>
          </w:p>
        </w:tc>
        <w:tc>
          <w:tcPr>
            <w:tcW w:w="7660" w:type="dxa"/>
            <w:tcBorders>
              <w:top w:val="single" w:sz="4" w:space="0" w:color="CCCCCC"/>
              <w:left w:val="single" w:sz="4" w:space="0" w:color="CCCCCC"/>
              <w:bottom w:val="single" w:sz="4" w:space="0" w:color="CCCCCC"/>
              <w:right w:val="single" w:sz="4" w:space="0" w:color="CCCCCC"/>
            </w:tcBorders>
            <w:shd w:val="clear" w:color="auto" w:fill="FFEBEE"/>
          </w:tcPr>
          <w:p w14:paraId="2E37795B" w14:textId="77777777" w:rsidR="00F81FB6" w:rsidRDefault="00571C04">
            <w:pPr>
              <w:pStyle w:val="ListParagraph"/>
              <w:numPr>
                <w:ilvl w:val="0"/>
                <w:numId w:val="2"/>
              </w:numPr>
              <w:spacing w:after="30"/>
            </w:pPr>
            <w:r>
              <w:rPr>
                <w:sz w:val="19"/>
                <w:szCs w:val="19"/>
              </w:rPr>
              <w:t>Fleet utilization &gt;95%; warehouse utilization &gt;95% — at or over capacity</w:t>
            </w:r>
          </w:p>
          <w:p w14:paraId="21375128" w14:textId="77777777" w:rsidR="00F81FB6" w:rsidRDefault="00571C04">
            <w:pPr>
              <w:pStyle w:val="ListParagraph"/>
              <w:numPr>
                <w:ilvl w:val="0"/>
                <w:numId w:val="2"/>
              </w:numPr>
              <w:spacing w:after="30"/>
            </w:pPr>
            <w:r>
              <w:rPr>
                <w:sz w:val="19"/>
                <w:szCs w:val="19"/>
              </w:rPr>
              <w:t>Critical driver shortage; driver turnover &gt;100%; active recruitment crisis</w:t>
            </w:r>
          </w:p>
          <w:p w14:paraId="62312EBD" w14:textId="77777777" w:rsidR="00F81FB6" w:rsidRDefault="00571C04">
            <w:pPr>
              <w:pStyle w:val="ListParagraph"/>
              <w:numPr>
                <w:ilvl w:val="0"/>
                <w:numId w:val="2"/>
              </w:numPr>
              <w:spacing w:after="30"/>
            </w:pPr>
            <w:r>
              <w:rPr>
                <w:sz w:val="19"/>
                <w:szCs w:val="19"/>
              </w:rPr>
              <w:t>No seasonal scalability; documented service failures during prior peak periods</w:t>
            </w:r>
          </w:p>
          <w:p w14:paraId="13DB063E" w14:textId="77777777" w:rsidR="00F81FB6" w:rsidRDefault="00571C04">
            <w:pPr>
              <w:pStyle w:val="ListParagraph"/>
              <w:numPr>
                <w:ilvl w:val="0"/>
                <w:numId w:val="2"/>
              </w:numPr>
              <w:spacing w:after="30"/>
            </w:pPr>
            <w:r>
              <w:rPr>
                <w:sz w:val="19"/>
                <w:szCs w:val="19"/>
              </w:rPr>
              <w:t>No contingency carrier relati</w:t>
            </w:r>
            <w:r>
              <w:rPr>
                <w:sz w:val="19"/>
                <w:szCs w:val="19"/>
              </w:rPr>
              <w:t>onships; single location, no backup options</w:t>
            </w:r>
          </w:p>
          <w:p w14:paraId="548B3C7C" w14:textId="77777777" w:rsidR="00F81FB6" w:rsidRDefault="00571C04">
            <w:pPr>
              <w:pStyle w:val="ListParagraph"/>
              <w:numPr>
                <w:ilvl w:val="0"/>
                <w:numId w:val="2"/>
              </w:numPr>
              <w:spacing w:after="30"/>
            </w:pPr>
            <w:r>
              <w:rPr>
                <w:sz w:val="19"/>
                <w:szCs w:val="19"/>
              </w:rPr>
              <w:t>No cold chain capability where required for engagement scope</w:t>
            </w:r>
          </w:p>
          <w:p w14:paraId="7C9C3137" w14:textId="77777777" w:rsidR="00F81FB6" w:rsidRDefault="00571C04">
            <w:pPr>
              <w:pStyle w:val="ListParagraph"/>
              <w:numPr>
                <w:ilvl w:val="0"/>
                <w:numId w:val="2"/>
              </w:numPr>
              <w:spacing w:after="30"/>
            </w:pPr>
            <w:r>
              <w:rPr>
                <w:sz w:val="19"/>
                <w:szCs w:val="19"/>
              </w:rPr>
              <w:t>Fleet age average &gt;12 years; deferred maintenance; high breakdown risk</w:t>
            </w:r>
          </w:p>
        </w:tc>
      </w:tr>
    </w:tbl>
    <w:p w14:paraId="50DA0448" w14:textId="77777777" w:rsidR="00F81FB6" w:rsidRDefault="00F81FB6">
      <w:pPr>
        <w:spacing w:after="140"/>
      </w:pPr>
    </w:p>
    <w:p w14:paraId="56E32FBF" w14:textId="77777777" w:rsidR="00F81FB6" w:rsidRDefault="00571C04">
      <w:pPr>
        <w:pStyle w:val="SubHeader"/>
      </w:pPr>
      <w:r>
        <w:t>C.5  Compliance Record  —  5% Weight  ·  40 Points Maximum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1000"/>
        <w:gridCol w:w="7660"/>
      </w:tblGrid>
      <w:tr w:rsidR="00F81FB6" w14:paraId="0AED2EDB" w14:textId="77777777">
        <w:tblPrEx>
          <w:tblCellMar>
            <w:top w:w="0" w:type="dxa"/>
            <w:bottom w:w="0" w:type="dxa"/>
          </w:tblCellMar>
        </w:tblPrEx>
        <w:trPr>
          <w:tblHeader/>
        </w:trPr>
        <w:tc>
          <w:tcPr>
            <w:tcW w:w="700" w:type="dxa"/>
            <w:tcBorders>
              <w:top w:val="single" w:sz="4" w:space="0" w:color="CCCCCC"/>
              <w:left w:val="single" w:sz="4" w:space="0" w:color="CCCCCC"/>
              <w:bottom w:val="single" w:sz="4" w:space="0" w:color="CCCCCC"/>
              <w:right w:val="single" w:sz="4" w:space="0" w:color="CCCCCC"/>
            </w:tcBorders>
            <w:shd w:val="clear" w:color="auto" w:fill="1F4E79"/>
            <w:vAlign w:val="center"/>
          </w:tcPr>
          <w:p w14:paraId="64AB9A4F" w14:textId="77777777" w:rsidR="00F81FB6" w:rsidRDefault="00571C04">
            <w:pPr>
              <w:spacing w:before="60" w:after="60"/>
              <w:jc w:val="center"/>
            </w:pPr>
            <w:r>
              <w:rPr>
                <w:b/>
                <w:bCs/>
                <w:color w:val="FFFFFF"/>
                <w:sz w:val="20"/>
                <w:szCs w:val="20"/>
              </w:rPr>
              <w:t>Score</w:t>
            </w:r>
          </w:p>
        </w:tc>
        <w:tc>
          <w:tcPr>
            <w:tcW w:w="1000" w:type="dxa"/>
            <w:tcBorders>
              <w:top w:val="single" w:sz="4" w:space="0" w:color="CCCCCC"/>
              <w:left w:val="single" w:sz="4" w:space="0" w:color="CCCCCC"/>
              <w:bottom w:val="single" w:sz="4" w:space="0" w:color="CCCCCC"/>
              <w:right w:val="single" w:sz="4" w:space="0" w:color="CCCCCC"/>
            </w:tcBorders>
            <w:shd w:val="clear" w:color="auto" w:fill="1F4E79"/>
            <w:vAlign w:val="center"/>
          </w:tcPr>
          <w:p w14:paraId="264BC66E" w14:textId="77777777" w:rsidR="00F81FB6" w:rsidRDefault="00571C04">
            <w:pPr>
              <w:spacing w:before="60" w:after="60"/>
              <w:jc w:val="center"/>
            </w:pPr>
            <w:r>
              <w:rPr>
                <w:b/>
                <w:bCs/>
                <w:color w:val="FFFFFF"/>
                <w:sz w:val="20"/>
                <w:szCs w:val="20"/>
              </w:rPr>
              <w:t>Level</w:t>
            </w:r>
          </w:p>
        </w:tc>
        <w:tc>
          <w:tcPr>
            <w:tcW w:w="7660" w:type="dxa"/>
            <w:tcBorders>
              <w:top w:val="single" w:sz="4" w:space="0" w:color="CCCCCC"/>
              <w:left w:val="single" w:sz="4" w:space="0" w:color="CCCCCC"/>
              <w:bottom w:val="single" w:sz="4" w:space="0" w:color="CCCCCC"/>
              <w:right w:val="single" w:sz="4" w:space="0" w:color="CCCCCC"/>
            </w:tcBorders>
            <w:shd w:val="clear" w:color="auto" w:fill="1F4E79"/>
            <w:vAlign w:val="center"/>
          </w:tcPr>
          <w:p w14:paraId="44083BDC" w14:textId="77777777" w:rsidR="00F81FB6" w:rsidRDefault="00571C04">
            <w:pPr>
              <w:spacing w:before="60" w:after="60"/>
              <w:jc w:val="center"/>
            </w:pPr>
            <w:r>
              <w:rPr>
                <w:b/>
                <w:bCs/>
                <w:color w:val="FFFFFF"/>
                <w:sz w:val="20"/>
                <w:szCs w:val="20"/>
              </w:rPr>
              <w:t>Criteria — Compliance Record (10% · 40 pts)</w:t>
            </w:r>
          </w:p>
        </w:tc>
      </w:tr>
      <w:tr w:rsidR="00F81FB6" w14:paraId="4C43DB59"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E8F5E9"/>
            <w:vAlign w:val="center"/>
          </w:tcPr>
          <w:p w14:paraId="482B496C" w14:textId="77777777" w:rsidR="00F81FB6" w:rsidRDefault="00571C04">
            <w:pPr>
              <w:spacing w:before="60" w:after="60"/>
              <w:jc w:val="center"/>
            </w:pPr>
            <w:r>
              <w:rPr>
                <w:b/>
                <w:bCs/>
                <w:color w:val="1A7432"/>
                <w:sz w:val="24"/>
                <w:szCs w:val="24"/>
              </w:rPr>
              <w:t>4</w:t>
            </w:r>
          </w:p>
        </w:tc>
        <w:tc>
          <w:tcPr>
            <w:tcW w:w="1000" w:type="dxa"/>
            <w:tcBorders>
              <w:top w:val="single" w:sz="4" w:space="0" w:color="CCCCCC"/>
              <w:left w:val="single" w:sz="4" w:space="0" w:color="CCCCCC"/>
              <w:bottom w:val="single" w:sz="4" w:space="0" w:color="CCCCCC"/>
              <w:right w:val="single" w:sz="4" w:space="0" w:color="CCCCCC"/>
            </w:tcBorders>
            <w:shd w:val="clear" w:color="auto" w:fill="E8F5E9"/>
            <w:vAlign w:val="center"/>
          </w:tcPr>
          <w:p w14:paraId="3FAC811C" w14:textId="77777777" w:rsidR="00F81FB6" w:rsidRDefault="00571C04">
            <w:pPr>
              <w:spacing w:before="60" w:after="60"/>
              <w:jc w:val="center"/>
            </w:pPr>
            <w:r>
              <w:rPr>
                <w:b/>
                <w:bCs/>
                <w:color w:val="1A7432"/>
                <w:sz w:val="20"/>
                <w:szCs w:val="20"/>
              </w:rPr>
              <w:t>Excellent</w:t>
            </w:r>
          </w:p>
        </w:tc>
        <w:tc>
          <w:tcPr>
            <w:tcW w:w="7660" w:type="dxa"/>
            <w:tcBorders>
              <w:top w:val="single" w:sz="4" w:space="0" w:color="CCCCCC"/>
              <w:left w:val="single" w:sz="4" w:space="0" w:color="CCCCCC"/>
              <w:bottom w:val="single" w:sz="4" w:space="0" w:color="CCCCCC"/>
              <w:right w:val="single" w:sz="4" w:space="0" w:color="CCCCCC"/>
            </w:tcBorders>
            <w:shd w:val="clear" w:color="auto" w:fill="E8F5E9"/>
          </w:tcPr>
          <w:p w14:paraId="57E1F6F2" w14:textId="77777777" w:rsidR="00F81FB6" w:rsidRDefault="00571C04">
            <w:pPr>
              <w:pStyle w:val="ListParagraph"/>
              <w:numPr>
                <w:ilvl w:val="0"/>
                <w:numId w:val="2"/>
              </w:numPr>
              <w:spacing w:after="30"/>
            </w:pPr>
            <w:r>
              <w:rPr>
                <w:sz w:val="19"/>
                <w:szCs w:val="19"/>
              </w:rPr>
              <w:t>Zero FMCSA, DOT, or OSHA violations in past 5 years (or only administrative/minor findings with immediate correction)</w:t>
            </w:r>
          </w:p>
          <w:p w14:paraId="12CB91B6" w14:textId="77777777" w:rsidR="00F81FB6" w:rsidRDefault="00571C04">
            <w:pPr>
              <w:pStyle w:val="ListParagraph"/>
              <w:numPr>
                <w:ilvl w:val="0"/>
                <w:numId w:val="2"/>
              </w:numPr>
              <w:spacing w:after="30"/>
            </w:pPr>
            <w:r>
              <w:rPr>
                <w:sz w:val="19"/>
                <w:szCs w:val="19"/>
              </w:rPr>
              <w:t>Proactive compliance program with designated Compliance Officer; documented policies and procedures</w:t>
            </w:r>
          </w:p>
          <w:p w14:paraId="26A1A6E5" w14:textId="77777777" w:rsidR="00F81FB6" w:rsidRDefault="00571C04">
            <w:pPr>
              <w:pStyle w:val="ListParagraph"/>
              <w:numPr>
                <w:ilvl w:val="0"/>
                <w:numId w:val="2"/>
              </w:numPr>
              <w:spacing w:after="30"/>
            </w:pPr>
            <w:r>
              <w:rPr>
                <w:sz w:val="19"/>
                <w:szCs w:val="19"/>
              </w:rPr>
              <w:t>Third-party audit certifications: C-TP</w:t>
            </w:r>
            <w:r>
              <w:rPr>
                <w:sz w:val="19"/>
                <w:szCs w:val="19"/>
              </w:rPr>
              <w:t>AT certified (customs/trade), SmartWay Transport Partner</w:t>
            </w:r>
          </w:p>
          <w:p w14:paraId="228C6660" w14:textId="77777777" w:rsidR="00F81FB6" w:rsidRDefault="00571C04">
            <w:pPr>
              <w:pStyle w:val="ListParagraph"/>
              <w:numPr>
                <w:ilvl w:val="0"/>
                <w:numId w:val="2"/>
              </w:numPr>
              <w:spacing w:after="30"/>
            </w:pPr>
            <w:r>
              <w:rPr>
                <w:sz w:val="19"/>
                <w:szCs w:val="19"/>
              </w:rPr>
              <w:t>Food safety certifications for warehousing: SQF, BRC/BRCGS, FSSC 22000, and/or HACCP — critical for WWRGD Whole Foods and Amazon Fresh operations</w:t>
            </w:r>
          </w:p>
          <w:p w14:paraId="7F4039C7" w14:textId="77777777" w:rsidR="00F81FB6" w:rsidRDefault="00571C04">
            <w:pPr>
              <w:pStyle w:val="ListParagraph"/>
              <w:numPr>
                <w:ilvl w:val="0"/>
                <w:numId w:val="2"/>
              </w:numPr>
              <w:spacing w:after="30"/>
            </w:pPr>
            <w:r>
              <w:rPr>
                <w:sz w:val="19"/>
                <w:szCs w:val="19"/>
              </w:rPr>
              <w:t>FSMA-compliant Sanitary Transportation of Human and A</w:t>
            </w:r>
            <w:r>
              <w:rPr>
                <w:sz w:val="19"/>
                <w:szCs w:val="19"/>
              </w:rPr>
              <w:t>nimal Food practices documented</w:t>
            </w:r>
          </w:p>
          <w:p w14:paraId="5DF57D61" w14:textId="77777777" w:rsidR="00F81FB6" w:rsidRDefault="00571C04">
            <w:pPr>
              <w:pStyle w:val="ListParagraph"/>
              <w:numPr>
                <w:ilvl w:val="0"/>
                <w:numId w:val="2"/>
              </w:numPr>
              <w:spacing w:after="30"/>
            </w:pPr>
            <w:r>
              <w:rPr>
                <w:sz w:val="19"/>
                <w:szCs w:val="19"/>
              </w:rPr>
              <w:t>Comprehensive driver qualification file program with regular MVR reviews and ELD compliance</w:t>
            </w:r>
          </w:p>
          <w:p w14:paraId="2DD7D645" w14:textId="77777777" w:rsidR="00F81FB6" w:rsidRDefault="00571C04">
            <w:pPr>
              <w:pStyle w:val="ListParagraph"/>
              <w:numPr>
                <w:ilvl w:val="0"/>
                <w:numId w:val="2"/>
              </w:numPr>
              <w:spacing w:after="30"/>
            </w:pPr>
            <w:r>
              <w:rPr>
                <w:sz w:val="19"/>
                <w:szCs w:val="19"/>
              </w:rPr>
              <w:t>Environmental compliance: spill prevention plans, emissions programs, refrigerant management</w:t>
            </w:r>
          </w:p>
        </w:tc>
      </w:tr>
      <w:tr w:rsidR="00F81FB6" w14:paraId="4C0443E0"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F1F8E9"/>
            <w:vAlign w:val="center"/>
          </w:tcPr>
          <w:p w14:paraId="6242CDB5" w14:textId="77777777" w:rsidR="00F81FB6" w:rsidRDefault="00571C04">
            <w:pPr>
              <w:spacing w:before="60" w:after="60"/>
              <w:jc w:val="center"/>
            </w:pPr>
            <w:r>
              <w:rPr>
                <w:b/>
                <w:bCs/>
                <w:color w:val="558B2F"/>
                <w:sz w:val="24"/>
                <w:szCs w:val="24"/>
              </w:rPr>
              <w:t>3</w:t>
            </w:r>
          </w:p>
        </w:tc>
        <w:tc>
          <w:tcPr>
            <w:tcW w:w="1000" w:type="dxa"/>
            <w:tcBorders>
              <w:top w:val="single" w:sz="4" w:space="0" w:color="CCCCCC"/>
              <w:left w:val="single" w:sz="4" w:space="0" w:color="CCCCCC"/>
              <w:bottom w:val="single" w:sz="4" w:space="0" w:color="CCCCCC"/>
              <w:right w:val="single" w:sz="4" w:space="0" w:color="CCCCCC"/>
            </w:tcBorders>
            <w:shd w:val="clear" w:color="auto" w:fill="F1F8E9"/>
            <w:vAlign w:val="center"/>
          </w:tcPr>
          <w:p w14:paraId="37DA7391" w14:textId="77777777" w:rsidR="00F81FB6" w:rsidRDefault="00571C04">
            <w:pPr>
              <w:spacing w:before="60" w:after="60"/>
              <w:jc w:val="center"/>
            </w:pPr>
            <w:r>
              <w:rPr>
                <w:b/>
                <w:bCs/>
                <w:color w:val="558B2F"/>
                <w:sz w:val="20"/>
                <w:szCs w:val="20"/>
              </w:rPr>
              <w:t>Good</w:t>
            </w:r>
          </w:p>
        </w:tc>
        <w:tc>
          <w:tcPr>
            <w:tcW w:w="7660" w:type="dxa"/>
            <w:tcBorders>
              <w:top w:val="single" w:sz="4" w:space="0" w:color="CCCCCC"/>
              <w:left w:val="single" w:sz="4" w:space="0" w:color="CCCCCC"/>
              <w:bottom w:val="single" w:sz="4" w:space="0" w:color="CCCCCC"/>
              <w:right w:val="single" w:sz="4" w:space="0" w:color="CCCCCC"/>
            </w:tcBorders>
            <w:shd w:val="clear" w:color="auto" w:fill="F1F8E9"/>
          </w:tcPr>
          <w:p w14:paraId="52906135" w14:textId="77777777" w:rsidR="00F81FB6" w:rsidRDefault="00571C04">
            <w:pPr>
              <w:pStyle w:val="ListParagraph"/>
              <w:numPr>
                <w:ilvl w:val="0"/>
                <w:numId w:val="2"/>
              </w:numPr>
              <w:spacing w:after="30"/>
            </w:pPr>
            <w:r>
              <w:rPr>
                <w:sz w:val="19"/>
                <w:szCs w:val="19"/>
              </w:rPr>
              <w:t>Minor violations only in past 5 years with documented remediation and closure</w:t>
            </w:r>
          </w:p>
          <w:p w14:paraId="07EE1ECD" w14:textId="77777777" w:rsidR="00F81FB6" w:rsidRDefault="00571C04">
            <w:pPr>
              <w:pStyle w:val="ListParagraph"/>
              <w:numPr>
                <w:ilvl w:val="0"/>
                <w:numId w:val="2"/>
              </w:numPr>
              <w:spacing w:after="30"/>
            </w:pPr>
            <w:r>
              <w:rPr>
                <w:sz w:val="19"/>
                <w:szCs w:val="19"/>
              </w:rPr>
              <w:t>Compliance program in place with clear ownership; regular internal reviews conducted</w:t>
            </w:r>
          </w:p>
          <w:p w14:paraId="55204B34" w14:textId="77777777" w:rsidR="00F81FB6" w:rsidRDefault="00571C04">
            <w:pPr>
              <w:pStyle w:val="ListParagraph"/>
              <w:numPr>
                <w:ilvl w:val="0"/>
                <w:numId w:val="2"/>
              </w:numPr>
              <w:spacing w:after="30"/>
            </w:pPr>
            <w:r>
              <w:rPr>
                <w:sz w:val="19"/>
                <w:szCs w:val="19"/>
              </w:rPr>
              <w:t>SmartWay Shipper Partner or Transport Partner status; some third-party certifications</w:t>
            </w:r>
          </w:p>
          <w:p w14:paraId="52F1F496" w14:textId="77777777" w:rsidR="00F81FB6" w:rsidRDefault="00571C04">
            <w:pPr>
              <w:pStyle w:val="ListParagraph"/>
              <w:numPr>
                <w:ilvl w:val="0"/>
                <w:numId w:val="2"/>
              </w:numPr>
              <w:spacing w:after="30"/>
            </w:pPr>
            <w:r>
              <w:rPr>
                <w:sz w:val="19"/>
                <w:szCs w:val="19"/>
              </w:rPr>
              <w:t>Basic f</w:t>
            </w:r>
            <w:r>
              <w:rPr>
                <w:sz w:val="19"/>
                <w:szCs w:val="19"/>
              </w:rPr>
              <w:t>ood safety compliance for warehousing; SQF or HACCP certification in progress or achieved</w:t>
            </w:r>
          </w:p>
          <w:p w14:paraId="27411182" w14:textId="77777777" w:rsidR="00F81FB6" w:rsidRDefault="00571C04">
            <w:pPr>
              <w:pStyle w:val="ListParagraph"/>
              <w:numPr>
                <w:ilvl w:val="0"/>
                <w:numId w:val="2"/>
              </w:numPr>
              <w:spacing w:after="30"/>
            </w:pPr>
            <w:r>
              <w:rPr>
                <w:sz w:val="19"/>
                <w:szCs w:val="19"/>
              </w:rPr>
              <w:t>ELD mandate compliance; standard driver qualification file program</w:t>
            </w:r>
          </w:p>
          <w:p w14:paraId="06497B1A" w14:textId="77777777" w:rsidR="00F81FB6" w:rsidRDefault="00571C04">
            <w:pPr>
              <w:pStyle w:val="ListParagraph"/>
              <w:numPr>
                <w:ilvl w:val="0"/>
                <w:numId w:val="2"/>
              </w:numPr>
              <w:spacing w:after="30"/>
            </w:pPr>
            <w:r>
              <w:rPr>
                <w:sz w:val="19"/>
                <w:szCs w:val="19"/>
              </w:rPr>
              <w:t>Adequate environmental compliance; no penalties or enforcement actions</w:t>
            </w:r>
          </w:p>
        </w:tc>
      </w:tr>
      <w:tr w:rsidR="00F81FB6" w14:paraId="48F6DB21"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FFF8E1"/>
            <w:vAlign w:val="center"/>
          </w:tcPr>
          <w:p w14:paraId="5AACC163" w14:textId="77777777" w:rsidR="00F81FB6" w:rsidRDefault="00571C04">
            <w:pPr>
              <w:spacing w:before="60" w:after="60"/>
              <w:jc w:val="center"/>
            </w:pPr>
            <w:r>
              <w:rPr>
                <w:b/>
                <w:bCs/>
                <w:color w:val="F57F17"/>
                <w:sz w:val="24"/>
                <w:szCs w:val="24"/>
              </w:rPr>
              <w:t>2</w:t>
            </w:r>
          </w:p>
        </w:tc>
        <w:tc>
          <w:tcPr>
            <w:tcW w:w="1000" w:type="dxa"/>
            <w:tcBorders>
              <w:top w:val="single" w:sz="4" w:space="0" w:color="CCCCCC"/>
              <w:left w:val="single" w:sz="4" w:space="0" w:color="CCCCCC"/>
              <w:bottom w:val="single" w:sz="4" w:space="0" w:color="CCCCCC"/>
              <w:right w:val="single" w:sz="4" w:space="0" w:color="CCCCCC"/>
            </w:tcBorders>
            <w:shd w:val="clear" w:color="auto" w:fill="FFF8E1"/>
            <w:vAlign w:val="center"/>
          </w:tcPr>
          <w:p w14:paraId="3083EB13" w14:textId="77777777" w:rsidR="00F81FB6" w:rsidRDefault="00571C04">
            <w:pPr>
              <w:spacing w:before="60" w:after="60"/>
              <w:jc w:val="center"/>
            </w:pPr>
            <w:r>
              <w:rPr>
                <w:b/>
                <w:bCs/>
                <w:color w:val="F57F17"/>
                <w:sz w:val="20"/>
                <w:szCs w:val="20"/>
              </w:rPr>
              <w:t>Fair</w:t>
            </w:r>
          </w:p>
        </w:tc>
        <w:tc>
          <w:tcPr>
            <w:tcW w:w="7660" w:type="dxa"/>
            <w:tcBorders>
              <w:top w:val="single" w:sz="4" w:space="0" w:color="CCCCCC"/>
              <w:left w:val="single" w:sz="4" w:space="0" w:color="CCCCCC"/>
              <w:bottom w:val="single" w:sz="4" w:space="0" w:color="CCCCCC"/>
              <w:right w:val="single" w:sz="4" w:space="0" w:color="CCCCCC"/>
            </w:tcBorders>
            <w:shd w:val="clear" w:color="auto" w:fill="FFF8E1"/>
          </w:tcPr>
          <w:p w14:paraId="4FDE1842" w14:textId="77777777" w:rsidR="00F81FB6" w:rsidRDefault="00571C04">
            <w:pPr>
              <w:pStyle w:val="ListParagraph"/>
              <w:numPr>
                <w:ilvl w:val="0"/>
                <w:numId w:val="2"/>
              </w:numPr>
              <w:spacing w:after="30"/>
            </w:pPr>
            <w:r>
              <w:rPr>
                <w:sz w:val="19"/>
                <w:szCs w:val="19"/>
              </w:rPr>
              <w:t>Some FMCSA, DOT, or OSHA violations in review period; remediation in progress but not fully closed</w:t>
            </w:r>
          </w:p>
          <w:p w14:paraId="16558C72" w14:textId="77777777" w:rsidR="00F81FB6" w:rsidRDefault="00571C04">
            <w:pPr>
              <w:pStyle w:val="ListParagraph"/>
              <w:numPr>
                <w:ilvl w:val="0"/>
                <w:numId w:val="2"/>
              </w:numPr>
              <w:spacing w:after="30"/>
            </w:pPr>
            <w:r>
              <w:rPr>
                <w:sz w:val="19"/>
                <w:szCs w:val="19"/>
              </w:rPr>
              <w:t>Basic compliance awareness; limited formal program; gaps in policy documentation</w:t>
            </w:r>
          </w:p>
          <w:p w14:paraId="6AF9BD8A" w14:textId="77777777" w:rsidR="00F81FB6" w:rsidRDefault="00571C04">
            <w:pPr>
              <w:pStyle w:val="ListParagraph"/>
              <w:numPr>
                <w:ilvl w:val="0"/>
                <w:numId w:val="2"/>
              </w:numPr>
              <w:spacing w:after="30"/>
            </w:pPr>
            <w:r>
              <w:rPr>
                <w:sz w:val="19"/>
                <w:szCs w:val="19"/>
              </w:rPr>
              <w:t>No SmartWay participation; no third-party certifications currently held</w:t>
            </w:r>
          </w:p>
          <w:p w14:paraId="09E945F5" w14:textId="77777777" w:rsidR="00F81FB6" w:rsidRDefault="00571C04">
            <w:pPr>
              <w:pStyle w:val="ListParagraph"/>
              <w:numPr>
                <w:ilvl w:val="0"/>
                <w:numId w:val="2"/>
              </w:numPr>
              <w:spacing w:after="30"/>
            </w:pPr>
            <w:r>
              <w:rPr>
                <w:sz w:val="19"/>
                <w:szCs w:val="19"/>
              </w:rPr>
              <w:t>Food</w:t>
            </w:r>
            <w:r>
              <w:rPr>
                <w:sz w:val="19"/>
                <w:szCs w:val="19"/>
              </w:rPr>
              <w:t xml:space="preserve"> safety compliance gaps; no formal certifications; basic GMP adherence only</w:t>
            </w:r>
          </w:p>
          <w:p w14:paraId="552D6DFE" w14:textId="77777777" w:rsidR="00F81FB6" w:rsidRDefault="00571C04">
            <w:pPr>
              <w:pStyle w:val="ListParagraph"/>
              <w:numPr>
                <w:ilvl w:val="0"/>
                <w:numId w:val="2"/>
              </w:numPr>
              <w:spacing w:after="30"/>
            </w:pPr>
            <w:r>
              <w:rPr>
                <w:sz w:val="19"/>
                <w:szCs w:val="19"/>
              </w:rPr>
              <w:t>ELD compliant but manual workarounds noted; driver qualification file gaps</w:t>
            </w:r>
          </w:p>
          <w:p w14:paraId="4AE186A2" w14:textId="77777777" w:rsidR="00F81FB6" w:rsidRDefault="00571C04">
            <w:pPr>
              <w:pStyle w:val="ListParagraph"/>
              <w:numPr>
                <w:ilvl w:val="0"/>
                <w:numId w:val="2"/>
              </w:numPr>
              <w:spacing w:after="30"/>
            </w:pPr>
            <w:r>
              <w:rPr>
                <w:sz w:val="19"/>
                <w:szCs w:val="19"/>
              </w:rPr>
              <w:t>Minor environmental compliance concerns identified</w:t>
            </w:r>
          </w:p>
        </w:tc>
      </w:tr>
      <w:tr w:rsidR="00F81FB6" w14:paraId="5C1E364D"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FFEBEE"/>
            <w:vAlign w:val="center"/>
          </w:tcPr>
          <w:p w14:paraId="41415881" w14:textId="77777777" w:rsidR="00F81FB6" w:rsidRDefault="00571C04">
            <w:pPr>
              <w:spacing w:before="60" w:after="60"/>
              <w:jc w:val="center"/>
            </w:pPr>
            <w:r>
              <w:rPr>
                <w:b/>
                <w:bCs/>
                <w:color w:val="C00000"/>
                <w:sz w:val="24"/>
                <w:szCs w:val="24"/>
              </w:rPr>
              <w:t>1</w:t>
            </w:r>
          </w:p>
        </w:tc>
        <w:tc>
          <w:tcPr>
            <w:tcW w:w="1000" w:type="dxa"/>
            <w:tcBorders>
              <w:top w:val="single" w:sz="4" w:space="0" w:color="CCCCCC"/>
              <w:left w:val="single" w:sz="4" w:space="0" w:color="CCCCCC"/>
              <w:bottom w:val="single" w:sz="4" w:space="0" w:color="CCCCCC"/>
              <w:right w:val="single" w:sz="4" w:space="0" w:color="CCCCCC"/>
            </w:tcBorders>
            <w:shd w:val="clear" w:color="auto" w:fill="FFEBEE"/>
            <w:vAlign w:val="center"/>
          </w:tcPr>
          <w:p w14:paraId="02ED2CB3" w14:textId="77777777" w:rsidR="00F81FB6" w:rsidRDefault="00571C04">
            <w:pPr>
              <w:spacing w:before="60" w:after="60"/>
              <w:jc w:val="center"/>
            </w:pPr>
            <w:r>
              <w:rPr>
                <w:b/>
                <w:bCs/>
                <w:color w:val="C00000"/>
                <w:sz w:val="20"/>
                <w:szCs w:val="20"/>
              </w:rPr>
              <w:t>Poor</w:t>
            </w:r>
          </w:p>
        </w:tc>
        <w:tc>
          <w:tcPr>
            <w:tcW w:w="7660" w:type="dxa"/>
            <w:tcBorders>
              <w:top w:val="single" w:sz="4" w:space="0" w:color="CCCCCC"/>
              <w:left w:val="single" w:sz="4" w:space="0" w:color="CCCCCC"/>
              <w:bottom w:val="single" w:sz="4" w:space="0" w:color="CCCCCC"/>
              <w:right w:val="single" w:sz="4" w:space="0" w:color="CCCCCC"/>
            </w:tcBorders>
            <w:shd w:val="clear" w:color="auto" w:fill="FFEBEE"/>
          </w:tcPr>
          <w:p w14:paraId="5FD88EB7" w14:textId="77777777" w:rsidR="00F81FB6" w:rsidRDefault="00571C04">
            <w:pPr>
              <w:pStyle w:val="ListParagraph"/>
              <w:numPr>
                <w:ilvl w:val="0"/>
                <w:numId w:val="2"/>
              </w:numPr>
              <w:spacing w:after="30"/>
            </w:pPr>
            <w:r>
              <w:rPr>
                <w:sz w:val="19"/>
                <w:szCs w:val="19"/>
              </w:rPr>
              <w:t>Significant FMCSA, DOT, or OSHA violations with unresolved findings or pending enforcement actions</w:t>
            </w:r>
          </w:p>
          <w:p w14:paraId="11E7EB76" w14:textId="77777777" w:rsidR="00F81FB6" w:rsidRDefault="00571C04">
            <w:pPr>
              <w:pStyle w:val="ListParagraph"/>
              <w:numPr>
                <w:ilvl w:val="0"/>
                <w:numId w:val="2"/>
              </w:numPr>
              <w:spacing w:after="30"/>
            </w:pPr>
            <w:r>
              <w:rPr>
                <w:sz w:val="19"/>
                <w:szCs w:val="19"/>
              </w:rPr>
              <w:t>Inadequate or non-existent compliance program; no designated compliance ownership</w:t>
            </w:r>
          </w:p>
          <w:p w14:paraId="0940C458" w14:textId="77777777" w:rsidR="00F81FB6" w:rsidRDefault="00571C04">
            <w:pPr>
              <w:pStyle w:val="ListParagraph"/>
              <w:numPr>
                <w:ilvl w:val="0"/>
                <w:numId w:val="2"/>
              </w:numPr>
              <w:spacing w:after="30"/>
            </w:pPr>
            <w:r>
              <w:rPr>
                <w:sz w:val="19"/>
                <w:szCs w:val="19"/>
              </w:rPr>
              <w:t>No third-party certifications; no SmartWay participation; no audit history</w:t>
            </w:r>
          </w:p>
          <w:p w14:paraId="14B91978" w14:textId="77777777" w:rsidR="00F81FB6" w:rsidRDefault="00571C04">
            <w:pPr>
              <w:pStyle w:val="ListParagraph"/>
              <w:numPr>
                <w:ilvl w:val="0"/>
                <w:numId w:val="2"/>
              </w:numPr>
              <w:spacing w:after="30"/>
            </w:pPr>
            <w:r>
              <w:rPr>
                <w:sz w:val="19"/>
                <w:szCs w:val="19"/>
              </w:rPr>
              <w:t>Food safety non-compliance for warehousing operations; no certifications; FSMA violations</w:t>
            </w:r>
          </w:p>
          <w:p w14:paraId="1C12DE99" w14:textId="77777777" w:rsidR="00F81FB6" w:rsidRDefault="00571C04">
            <w:pPr>
              <w:pStyle w:val="ListParagraph"/>
              <w:numPr>
                <w:ilvl w:val="0"/>
                <w:numId w:val="2"/>
              </w:numPr>
              <w:spacing w:after="30"/>
            </w:pPr>
            <w:r>
              <w:rPr>
                <w:sz w:val="19"/>
                <w:szCs w:val="19"/>
              </w:rPr>
              <w:t>Environmental violations or enforcement actions; no spill prevention program</w:t>
            </w:r>
          </w:p>
          <w:p w14:paraId="1AF24A6F" w14:textId="77777777" w:rsidR="00F81FB6" w:rsidRDefault="00571C04">
            <w:pPr>
              <w:pStyle w:val="ListParagraph"/>
              <w:numPr>
                <w:ilvl w:val="0"/>
                <w:numId w:val="2"/>
              </w:numPr>
              <w:spacing w:after="30"/>
            </w:pPr>
            <w:r>
              <w:rPr>
                <w:sz w:val="19"/>
                <w:szCs w:val="19"/>
              </w:rPr>
              <w:t>Driver qualification file deficiencies; ELD non-compliance issues identified</w:t>
            </w:r>
          </w:p>
        </w:tc>
      </w:tr>
    </w:tbl>
    <w:p w14:paraId="0E1607BC" w14:textId="77777777" w:rsidR="00F81FB6" w:rsidRDefault="00F81FB6">
      <w:pPr>
        <w:spacing w:after="140"/>
      </w:pPr>
    </w:p>
    <w:p w14:paraId="7E337004" w14:textId="77777777" w:rsidR="00F81FB6" w:rsidRDefault="00571C04">
      <w:pPr>
        <w:pStyle w:val="SubHeader"/>
      </w:pPr>
      <w:r>
        <w:t>C.6  Technology Capabilities  —  5% Weight  ·  40 Points Maximum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1000"/>
        <w:gridCol w:w="7660"/>
      </w:tblGrid>
      <w:tr w:rsidR="00F81FB6" w14:paraId="73FF082C" w14:textId="77777777">
        <w:tblPrEx>
          <w:tblCellMar>
            <w:top w:w="0" w:type="dxa"/>
            <w:bottom w:w="0" w:type="dxa"/>
          </w:tblCellMar>
        </w:tblPrEx>
        <w:trPr>
          <w:tblHeader/>
        </w:trPr>
        <w:tc>
          <w:tcPr>
            <w:tcW w:w="700" w:type="dxa"/>
            <w:tcBorders>
              <w:top w:val="single" w:sz="4" w:space="0" w:color="CCCCCC"/>
              <w:left w:val="single" w:sz="4" w:space="0" w:color="CCCCCC"/>
              <w:bottom w:val="single" w:sz="4" w:space="0" w:color="CCCCCC"/>
              <w:right w:val="single" w:sz="4" w:space="0" w:color="CCCCCC"/>
            </w:tcBorders>
            <w:shd w:val="clear" w:color="auto" w:fill="1F4E79"/>
            <w:vAlign w:val="center"/>
          </w:tcPr>
          <w:p w14:paraId="165D368D" w14:textId="77777777" w:rsidR="00F81FB6" w:rsidRDefault="00571C04">
            <w:pPr>
              <w:spacing w:before="60" w:after="60"/>
              <w:jc w:val="center"/>
            </w:pPr>
            <w:r>
              <w:rPr>
                <w:b/>
                <w:bCs/>
                <w:color w:val="FFFFFF"/>
                <w:sz w:val="20"/>
                <w:szCs w:val="20"/>
              </w:rPr>
              <w:t>Score</w:t>
            </w:r>
          </w:p>
        </w:tc>
        <w:tc>
          <w:tcPr>
            <w:tcW w:w="1000" w:type="dxa"/>
            <w:tcBorders>
              <w:top w:val="single" w:sz="4" w:space="0" w:color="CCCCCC"/>
              <w:left w:val="single" w:sz="4" w:space="0" w:color="CCCCCC"/>
              <w:bottom w:val="single" w:sz="4" w:space="0" w:color="CCCCCC"/>
              <w:right w:val="single" w:sz="4" w:space="0" w:color="CCCCCC"/>
            </w:tcBorders>
            <w:shd w:val="clear" w:color="auto" w:fill="1F4E79"/>
            <w:vAlign w:val="center"/>
          </w:tcPr>
          <w:p w14:paraId="110284AF" w14:textId="77777777" w:rsidR="00F81FB6" w:rsidRDefault="00571C04">
            <w:pPr>
              <w:spacing w:before="60" w:after="60"/>
              <w:jc w:val="center"/>
            </w:pPr>
            <w:r>
              <w:rPr>
                <w:b/>
                <w:bCs/>
                <w:color w:val="FFFFFF"/>
                <w:sz w:val="20"/>
                <w:szCs w:val="20"/>
              </w:rPr>
              <w:t>Level</w:t>
            </w:r>
          </w:p>
        </w:tc>
        <w:tc>
          <w:tcPr>
            <w:tcW w:w="7660" w:type="dxa"/>
            <w:tcBorders>
              <w:top w:val="single" w:sz="4" w:space="0" w:color="CCCCCC"/>
              <w:left w:val="single" w:sz="4" w:space="0" w:color="CCCCCC"/>
              <w:bottom w:val="single" w:sz="4" w:space="0" w:color="CCCCCC"/>
              <w:right w:val="single" w:sz="4" w:space="0" w:color="CCCCCC"/>
            </w:tcBorders>
            <w:shd w:val="clear" w:color="auto" w:fill="1F4E79"/>
            <w:vAlign w:val="center"/>
          </w:tcPr>
          <w:p w14:paraId="28A8EFAA" w14:textId="77777777" w:rsidR="00F81FB6" w:rsidRDefault="00571C04">
            <w:pPr>
              <w:spacing w:before="60" w:after="60"/>
              <w:jc w:val="center"/>
            </w:pPr>
            <w:r>
              <w:rPr>
                <w:b/>
                <w:bCs/>
                <w:color w:val="FFFFFF"/>
                <w:sz w:val="20"/>
                <w:szCs w:val="20"/>
              </w:rPr>
              <w:t>Criteria — Technology Capabilities (10% · 40 pts)</w:t>
            </w:r>
          </w:p>
        </w:tc>
      </w:tr>
      <w:tr w:rsidR="00F81FB6" w14:paraId="5A47D5F3"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E8F5E9"/>
            <w:vAlign w:val="center"/>
          </w:tcPr>
          <w:p w14:paraId="19E981C3" w14:textId="77777777" w:rsidR="00F81FB6" w:rsidRDefault="00571C04">
            <w:pPr>
              <w:spacing w:before="60" w:after="60"/>
              <w:jc w:val="center"/>
            </w:pPr>
            <w:r>
              <w:rPr>
                <w:b/>
                <w:bCs/>
                <w:color w:val="1A7432"/>
                <w:sz w:val="24"/>
                <w:szCs w:val="24"/>
              </w:rPr>
              <w:t>4</w:t>
            </w:r>
          </w:p>
        </w:tc>
        <w:tc>
          <w:tcPr>
            <w:tcW w:w="1000" w:type="dxa"/>
            <w:tcBorders>
              <w:top w:val="single" w:sz="4" w:space="0" w:color="CCCCCC"/>
              <w:left w:val="single" w:sz="4" w:space="0" w:color="CCCCCC"/>
              <w:bottom w:val="single" w:sz="4" w:space="0" w:color="CCCCCC"/>
              <w:right w:val="single" w:sz="4" w:space="0" w:color="CCCCCC"/>
            </w:tcBorders>
            <w:shd w:val="clear" w:color="auto" w:fill="E8F5E9"/>
            <w:vAlign w:val="center"/>
          </w:tcPr>
          <w:p w14:paraId="2E23E065" w14:textId="77777777" w:rsidR="00F81FB6" w:rsidRDefault="00571C04">
            <w:pPr>
              <w:spacing w:before="60" w:after="60"/>
              <w:jc w:val="center"/>
            </w:pPr>
            <w:r>
              <w:rPr>
                <w:b/>
                <w:bCs/>
                <w:color w:val="1A7432"/>
                <w:sz w:val="20"/>
                <w:szCs w:val="20"/>
              </w:rPr>
              <w:t>Excellent</w:t>
            </w:r>
          </w:p>
        </w:tc>
        <w:tc>
          <w:tcPr>
            <w:tcW w:w="7660" w:type="dxa"/>
            <w:tcBorders>
              <w:top w:val="single" w:sz="4" w:space="0" w:color="CCCCCC"/>
              <w:left w:val="single" w:sz="4" w:space="0" w:color="CCCCCC"/>
              <w:bottom w:val="single" w:sz="4" w:space="0" w:color="CCCCCC"/>
              <w:right w:val="single" w:sz="4" w:space="0" w:color="CCCCCC"/>
            </w:tcBorders>
            <w:shd w:val="clear" w:color="auto" w:fill="E8F5E9"/>
          </w:tcPr>
          <w:p w14:paraId="31645244" w14:textId="77777777" w:rsidR="00F81FB6" w:rsidRDefault="00571C04">
            <w:pPr>
              <w:pStyle w:val="ListParagraph"/>
              <w:numPr>
                <w:ilvl w:val="0"/>
                <w:numId w:val="2"/>
              </w:numPr>
              <w:spacing w:after="30"/>
            </w:pPr>
            <w:r>
              <w:rPr>
                <w:sz w:val="19"/>
                <w:szCs w:val="19"/>
              </w:rPr>
              <w:t>Enterprise-grade TMS with multi-mode optimization, rate management, and carrier scorecarding</w:t>
            </w:r>
          </w:p>
          <w:p w14:paraId="70B4D0CB" w14:textId="77777777" w:rsidR="00F81FB6" w:rsidRDefault="00571C04">
            <w:pPr>
              <w:pStyle w:val="ListParagraph"/>
              <w:numPr>
                <w:ilvl w:val="0"/>
                <w:numId w:val="2"/>
              </w:numPr>
              <w:spacing w:after="30"/>
            </w:pPr>
            <w:r>
              <w:rPr>
                <w:sz w:val="19"/>
                <w:szCs w:val="19"/>
              </w:rPr>
              <w:t>Advanced WMS with automation integration (pick-to-light, RFID, conveyor systems); real-time inventory visibility</w:t>
            </w:r>
          </w:p>
          <w:p w14:paraId="63BAF0A2" w14:textId="77777777" w:rsidR="00F81FB6" w:rsidRDefault="00571C04">
            <w:pPr>
              <w:pStyle w:val="ListParagraph"/>
              <w:numPr>
                <w:ilvl w:val="0"/>
                <w:numId w:val="2"/>
              </w:numPr>
              <w:spacing w:after="30"/>
            </w:pPr>
            <w:r>
              <w:rPr>
                <w:sz w:val="19"/>
                <w:szCs w:val="19"/>
              </w:rPr>
              <w:t>Real-time GPS tracking with proactive exception al</w:t>
            </w:r>
            <w:r>
              <w:rPr>
                <w:sz w:val="19"/>
                <w:szCs w:val="19"/>
              </w:rPr>
              <w:t>erts and customer-facing visibility portal</w:t>
            </w:r>
          </w:p>
          <w:p w14:paraId="15AE5E7B" w14:textId="77777777" w:rsidR="00F81FB6" w:rsidRDefault="00571C04">
            <w:pPr>
              <w:pStyle w:val="ListParagraph"/>
              <w:numPr>
                <w:ilvl w:val="0"/>
                <w:numId w:val="2"/>
              </w:numPr>
              <w:spacing w:after="30"/>
            </w:pPr>
            <w:r>
              <w:rPr>
                <w:sz w:val="19"/>
                <w:szCs w:val="19"/>
              </w:rPr>
              <w:t>Full EDI capability: 204 (Load Tender), 210 (Freight Invoice), 214 (Status Update), 856 (Advance Ship Notice), 940/943/944/945 (Warehouse); API integration available</w:t>
            </w:r>
          </w:p>
          <w:p w14:paraId="5D6B502D" w14:textId="77777777" w:rsidR="00F81FB6" w:rsidRDefault="00571C04">
            <w:pPr>
              <w:pStyle w:val="ListParagraph"/>
              <w:numPr>
                <w:ilvl w:val="0"/>
                <w:numId w:val="2"/>
              </w:numPr>
              <w:spacing w:after="30"/>
            </w:pPr>
            <w:r>
              <w:rPr>
                <w:sz w:val="19"/>
                <w:szCs w:val="19"/>
              </w:rPr>
              <w:t>SOC 2 Type II or ISO 27001 certified; documente</w:t>
            </w:r>
            <w:r>
              <w:rPr>
                <w:sz w:val="19"/>
                <w:szCs w:val="19"/>
              </w:rPr>
              <w:t>d cybersecurity program and incident response plan</w:t>
            </w:r>
          </w:p>
          <w:p w14:paraId="78EFB0BA" w14:textId="77777777" w:rsidR="00F81FB6" w:rsidRDefault="00571C04">
            <w:pPr>
              <w:pStyle w:val="ListParagraph"/>
              <w:numPr>
                <w:ilvl w:val="0"/>
                <w:numId w:val="2"/>
              </w:numPr>
              <w:spacing w:after="30"/>
            </w:pPr>
            <w:r>
              <w:rPr>
                <w:sz w:val="19"/>
                <w:szCs w:val="19"/>
              </w:rPr>
              <w:t>Advanced telematics with driver behavior monitoring (hard braking, speeding, idle time, fatigue alerts)</w:t>
            </w:r>
          </w:p>
          <w:p w14:paraId="1E5BBC5E" w14:textId="77777777" w:rsidR="00F81FB6" w:rsidRDefault="00571C04">
            <w:pPr>
              <w:pStyle w:val="ListParagraph"/>
              <w:numPr>
                <w:ilvl w:val="0"/>
                <w:numId w:val="2"/>
              </w:numPr>
              <w:spacing w:after="30"/>
            </w:pPr>
            <w:r>
              <w:rPr>
                <w:sz w:val="19"/>
                <w:szCs w:val="19"/>
              </w:rPr>
              <w:t>Cold chain IoT temperature monitoring with real-time alerts, automated logging, and customer dashboar</w:t>
            </w:r>
            <w:r>
              <w:rPr>
                <w:sz w:val="19"/>
                <w:szCs w:val="19"/>
              </w:rPr>
              <w:t>d</w:t>
            </w:r>
          </w:p>
          <w:p w14:paraId="40563219" w14:textId="77777777" w:rsidR="00F81FB6" w:rsidRDefault="00571C04">
            <w:pPr>
              <w:pStyle w:val="ListParagraph"/>
              <w:numPr>
                <w:ilvl w:val="0"/>
                <w:numId w:val="2"/>
              </w:numPr>
              <w:spacing w:after="30"/>
            </w:pPr>
            <w:r>
              <w:rPr>
                <w:sz w:val="19"/>
                <w:szCs w:val="19"/>
              </w:rPr>
              <w:t>Electronic Proof of Delivery (ePOD) with photo capture; Yard Management System (YMS)</w:t>
            </w:r>
          </w:p>
          <w:p w14:paraId="45CCBBA7" w14:textId="77777777" w:rsidR="00F81FB6" w:rsidRDefault="00571C04">
            <w:pPr>
              <w:pStyle w:val="ListParagraph"/>
              <w:numPr>
                <w:ilvl w:val="0"/>
                <w:numId w:val="2"/>
              </w:numPr>
              <w:spacing w:after="30"/>
            </w:pPr>
            <w:r>
              <w:rPr>
                <w:sz w:val="19"/>
                <w:szCs w:val="19"/>
              </w:rPr>
              <w:t>Route optimization technology; fuel efficiency analytics; Coupa integration confirmed</w:t>
            </w:r>
          </w:p>
        </w:tc>
      </w:tr>
      <w:tr w:rsidR="00F81FB6" w14:paraId="24E5F698"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F1F8E9"/>
            <w:vAlign w:val="center"/>
          </w:tcPr>
          <w:p w14:paraId="10E7B4C8" w14:textId="77777777" w:rsidR="00F81FB6" w:rsidRDefault="00571C04">
            <w:pPr>
              <w:spacing w:before="60" w:after="60"/>
              <w:jc w:val="center"/>
            </w:pPr>
            <w:r>
              <w:rPr>
                <w:b/>
                <w:bCs/>
                <w:color w:val="558B2F"/>
                <w:sz w:val="24"/>
                <w:szCs w:val="24"/>
              </w:rPr>
              <w:t>3</w:t>
            </w:r>
          </w:p>
        </w:tc>
        <w:tc>
          <w:tcPr>
            <w:tcW w:w="1000" w:type="dxa"/>
            <w:tcBorders>
              <w:top w:val="single" w:sz="4" w:space="0" w:color="CCCCCC"/>
              <w:left w:val="single" w:sz="4" w:space="0" w:color="CCCCCC"/>
              <w:bottom w:val="single" w:sz="4" w:space="0" w:color="CCCCCC"/>
              <w:right w:val="single" w:sz="4" w:space="0" w:color="CCCCCC"/>
            </w:tcBorders>
            <w:shd w:val="clear" w:color="auto" w:fill="F1F8E9"/>
            <w:vAlign w:val="center"/>
          </w:tcPr>
          <w:p w14:paraId="240F068B" w14:textId="77777777" w:rsidR="00F81FB6" w:rsidRDefault="00571C04">
            <w:pPr>
              <w:spacing w:before="60" w:after="60"/>
              <w:jc w:val="center"/>
            </w:pPr>
            <w:r>
              <w:rPr>
                <w:b/>
                <w:bCs/>
                <w:color w:val="558B2F"/>
                <w:sz w:val="20"/>
                <w:szCs w:val="20"/>
              </w:rPr>
              <w:t>Good</w:t>
            </w:r>
          </w:p>
        </w:tc>
        <w:tc>
          <w:tcPr>
            <w:tcW w:w="7660" w:type="dxa"/>
            <w:tcBorders>
              <w:top w:val="single" w:sz="4" w:space="0" w:color="CCCCCC"/>
              <w:left w:val="single" w:sz="4" w:space="0" w:color="CCCCCC"/>
              <w:bottom w:val="single" w:sz="4" w:space="0" w:color="CCCCCC"/>
              <w:right w:val="single" w:sz="4" w:space="0" w:color="CCCCCC"/>
            </w:tcBorders>
            <w:shd w:val="clear" w:color="auto" w:fill="F1F8E9"/>
          </w:tcPr>
          <w:p w14:paraId="6F7ACA93" w14:textId="77777777" w:rsidR="00F81FB6" w:rsidRDefault="00571C04">
            <w:pPr>
              <w:pStyle w:val="ListParagraph"/>
              <w:numPr>
                <w:ilvl w:val="0"/>
                <w:numId w:val="2"/>
              </w:numPr>
              <w:spacing w:after="30"/>
            </w:pPr>
            <w:r>
              <w:rPr>
                <w:sz w:val="19"/>
                <w:szCs w:val="19"/>
              </w:rPr>
              <w:t>Standard TMS with rate management and basic optimization; functional WMS with real-time inventory</w:t>
            </w:r>
          </w:p>
          <w:p w14:paraId="54BA5F90" w14:textId="77777777" w:rsidR="00F81FB6" w:rsidRDefault="00571C04">
            <w:pPr>
              <w:pStyle w:val="ListParagraph"/>
              <w:numPr>
                <w:ilvl w:val="0"/>
                <w:numId w:val="2"/>
              </w:numPr>
              <w:spacing w:after="30"/>
            </w:pPr>
            <w:r>
              <w:rPr>
                <w:sz w:val="19"/>
                <w:szCs w:val="19"/>
              </w:rPr>
              <w:t>GPS tracking with customer portal (may not have proactive exception alerts)</w:t>
            </w:r>
          </w:p>
          <w:p w14:paraId="0CF10263" w14:textId="77777777" w:rsidR="00F81FB6" w:rsidRDefault="00571C04">
            <w:pPr>
              <w:pStyle w:val="ListParagraph"/>
              <w:numPr>
                <w:ilvl w:val="0"/>
                <w:numId w:val="2"/>
              </w:numPr>
              <w:spacing w:after="30"/>
            </w:pPr>
            <w:r>
              <w:rPr>
                <w:sz w:val="19"/>
                <w:szCs w:val="19"/>
              </w:rPr>
              <w:t>Core EDI capabilities (210 and 214 minimum); standard API or EDI integration</w:t>
            </w:r>
          </w:p>
          <w:p w14:paraId="14F55919" w14:textId="77777777" w:rsidR="00F81FB6" w:rsidRDefault="00571C04">
            <w:pPr>
              <w:pStyle w:val="ListParagraph"/>
              <w:numPr>
                <w:ilvl w:val="0"/>
                <w:numId w:val="2"/>
              </w:numPr>
              <w:spacing w:after="30"/>
            </w:pPr>
            <w:r>
              <w:rPr>
                <w:sz w:val="19"/>
                <w:szCs w:val="19"/>
              </w:rPr>
              <w:t>Basic</w:t>
            </w:r>
            <w:r>
              <w:rPr>
                <w:sz w:val="19"/>
                <w:szCs w:val="19"/>
              </w:rPr>
              <w:t xml:space="preserve"> cybersecurity measures; annual security reviews conducted</w:t>
            </w:r>
          </w:p>
          <w:p w14:paraId="2367D259" w14:textId="77777777" w:rsidR="00F81FB6" w:rsidRDefault="00571C04">
            <w:pPr>
              <w:pStyle w:val="ListParagraph"/>
              <w:numPr>
                <w:ilvl w:val="0"/>
                <w:numId w:val="2"/>
              </w:numPr>
              <w:spacing w:after="30"/>
            </w:pPr>
            <w:r>
              <w:rPr>
                <w:sz w:val="19"/>
                <w:szCs w:val="19"/>
              </w:rPr>
              <w:t>Telematics for basic fleet tracking and hours of service monitoring</w:t>
            </w:r>
          </w:p>
          <w:p w14:paraId="60FD77FF" w14:textId="77777777" w:rsidR="00F81FB6" w:rsidRDefault="00571C04">
            <w:pPr>
              <w:pStyle w:val="ListParagraph"/>
              <w:numPr>
                <w:ilvl w:val="0"/>
                <w:numId w:val="2"/>
              </w:numPr>
              <w:spacing w:after="30"/>
            </w:pPr>
            <w:r>
              <w:rPr>
                <w:sz w:val="19"/>
                <w:szCs w:val="19"/>
              </w:rPr>
              <w:t>Temperature logging for cold chain (may be manual or periodic rather than continuous real-time)</w:t>
            </w:r>
          </w:p>
          <w:p w14:paraId="76F15F67" w14:textId="77777777" w:rsidR="00F81FB6" w:rsidRDefault="00571C04">
            <w:pPr>
              <w:pStyle w:val="ListParagraph"/>
              <w:numPr>
                <w:ilvl w:val="0"/>
                <w:numId w:val="2"/>
              </w:numPr>
              <w:spacing w:after="30"/>
            </w:pPr>
            <w:r>
              <w:rPr>
                <w:sz w:val="19"/>
                <w:szCs w:val="19"/>
              </w:rPr>
              <w:t>Standard reporting and KPI dashbo</w:t>
            </w:r>
            <w:r>
              <w:rPr>
                <w:sz w:val="19"/>
                <w:szCs w:val="19"/>
              </w:rPr>
              <w:t>ards available</w:t>
            </w:r>
          </w:p>
        </w:tc>
      </w:tr>
      <w:tr w:rsidR="00F81FB6" w14:paraId="194A2861"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FFF8E1"/>
            <w:vAlign w:val="center"/>
          </w:tcPr>
          <w:p w14:paraId="2531E895" w14:textId="77777777" w:rsidR="00F81FB6" w:rsidRDefault="00571C04">
            <w:pPr>
              <w:spacing w:before="60" w:after="60"/>
              <w:jc w:val="center"/>
            </w:pPr>
            <w:r>
              <w:rPr>
                <w:b/>
                <w:bCs/>
                <w:color w:val="F57F17"/>
                <w:sz w:val="24"/>
                <w:szCs w:val="24"/>
              </w:rPr>
              <w:t>2</w:t>
            </w:r>
          </w:p>
        </w:tc>
        <w:tc>
          <w:tcPr>
            <w:tcW w:w="1000" w:type="dxa"/>
            <w:tcBorders>
              <w:top w:val="single" w:sz="4" w:space="0" w:color="CCCCCC"/>
              <w:left w:val="single" w:sz="4" w:space="0" w:color="CCCCCC"/>
              <w:bottom w:val="single" w:sz="4" w:space="0" w:color="CCCCCC"/>
              <w:right w:val="single" w:sz="4" w:space="0" w:color="CCCCCC"/>
            </w:tcBorders>
            <w:shd w:val="clear" w:color="auto" w:fill="FFF8E1"/>
            <w:vAlign w:val="center"/>
          </w:tcPr>
          <w:p w14:paraId="06B45AEC" w14:textId="77777777" w:rsidR="00F81FB6" w:rsidRDefault="00571C04">
            <w:pPr>
              <w:spacing w:before="60" w:after="60"/>
              <w:jc w:val="center"/>
            </w:pPr>
            <w:r>
              <w:rPr>
                <w:b/>
                <w:bCs/>
                <w:color w:val="F57F17"/>
                <w:sz w:val="20"/>
                <w:szCs w:val="20"/>
              </w:rPr>
              <w:t>Fair</w:t>
            </w:r>
          </w:p>
        </w:tc>
        <w:tc>
          <w:tcPr>
            <w:tcW w:w="7660" w:type="dxa"/>
            <w:tcBorders>
              <w:top w:val="single" w:sz="4" w:space="0" w:color="CCCCCC"/>
              <w:left w:val="single" w:sz="4" w:space="0" w:color="CCCCCC"/>
              <w:bottom w:val="single" w:sz="4" w:space="0" w:color="CCCCCC"/>
              <w:right w:val="single" w:sz="4" w:space="0" w:color="CCCCCC"/>
            </w:tcBorders>
            <w:shd w:val="clear" w:color="auto" w:fill="FFF8E1"/>
          </w:tcPr>
          <w:p w14:paraId="5010CB74" w14:textId="77777777" w:rsidR="00F81FB6" w:rsidRDefault="00571C04">
            <w:pPr>
              <w:pStyle w:val="ListParagraph"/>
              <w:numPr>
                <w:ilvl w:val="0"/>
                <w:numId w:val="2"/>
              </w:numPr>
              <w:spacing w:after="30"/>
            </w:pPr>
            <w:r>
              <w:rPr>
                <w:sz w:val="19"/>
                <w:szCs w:val="19"/>
              </w:rPr>
              <w:t>Limited TMS or WMS capabilities; significant manual workarounds in place</w:t>
            </w:r>
          </w:p>
          <w:p w14:paraId="2F59F211" w14:textId="77777777" w:rsidR="00F81FB6" w:rsidRDefault="00571C04">
            <w:pPr>
              <w:pStyle w:val="ListParagraph"/>
              <w:numPr>
                <w:ilvl w:val="0"/>
                <w:numId w:val="2"/>
              </w:numPr>
              <w:spacing w:after="30"/>
            </w:pPr>
            <w:r>
              <w:rPr>
                <w:sz w:val="19"/>
                <w:szCs w:val="19"/>
              </w:rPr>
              <w:t>Basic tracking (not real-time; batch updates or milestone-based only)</w:t>
            </w:r>
          </w:p>
          <w:p w14:paraId="28A8303F" w14:textId="77777777" w:rsidR="00F81FB6" w:rsidRDefault="00571C04">
            <w:pPr>
              <w:pStyle w:val="ListParagraph"/>
              <w:numPr>
                <w:ilvl w:val="0"/>
                <w:numId w:val="2"/>
              </w:numPr>
              <w:spacing w:after="30"/>
            </w:pPr>
            <w:r>
              <w:rPr>
                <w:sz w:val="19"/>
                <w:szCs w:val="19"/>
              </w:rPr>
              <w:t>Minimal EDI (invoice only or no EDI); limited integration capabilities</w:t>
            </w:r>
          </w:p>
          <w:p w14:paraId="574FB1F5" w14:textId="77777777" w:rsidR="00F81FB6" w:rsidRDefault="00571C04">
            <w:pPr>
              <w:pStyle w:val="ListParagraph"/>
              <w:numPr>
                <w:ilvl w:val="0"/>
                <w:numId w:val="2"/>
              </w:numPr>
              <w:spacing w:after="30"/>
            </w:pPr>
            <w:r>
              <w:rPr>
                <w:sz w:val="19"/>
                <w:szCs w:val="19"/>
              </w:rPr>
              <w:t>Limited cybersecurity program; no formal certifications</w:t>
            </w:r>
          </w:p>
          <w:p w14:paraId="276AF260" w14:textId="77777777" w:rsidR="00F81FB6" w:rsidRDefault="00571C04">
            <w:pPr>
              <w:pStyle w:val="ListParagraph"/>
              <w:numPr>
                <w:ilvl w:val="0"/>
                <w:numId w:val="2"/>
              </w:numPr>
              <w:spacing w:after="30"/>
            </w:pPr>
            <w:r>
              <w:rPr>
                <w:sz w:val="19"/>
                <w:szCs w:val="19"/>
              </w:rPr>
              <w:t>Basic fleet tracking only; no driver behavior monitoring</w:t>
            </w:r>
          </w:p>
          <w:p w14:paraId="4CE115B4" w14:textId="77777777" w:rsidR="00F81FB6" w:rsidRDefault="00571C04">
            <w:pPr>
              <w:pStyle w:val="ListParagraph"/>
              <w:numPr>
                <w:ilvl w:val="0"/>
                <w:numId w:val="2"/>
              </w:numPr>
              <w:spacing w:after="30"/>
            </w:pPr>
            <w:r>
              <w:rPr>
                <w:sz w:val="19"/>
                <w:szCs w:val="19"/>
              </w:rPr>
              <w:t>Manual temperature logging for cold chain; no automated alerts</w:t>
            </w:r>
          </w:p>
          <w:p w14:paraId="720A8982" w14:textId="77777777" w:rsidR="00F81FB6" w:rsidRDefault="00571C04">
            <w:pPr>
              <w:pStyle w:val="ListParagraph"/>
              <w:numPr>
                <w:ilvl w:val="0"/>
                <w:numId w:val="2"/>
              </w:numPr>
              <w:spacing w:after="30"/>
            </w:pPr>
            <w:r>
              <w:rPr>
                <w:sz w:val="19"/>
                <w:szCs w:val="19"/>
              </w:rPr>
              <w:t>Limited r</w:t>
            </w:r>
            <w:r>
              <w:rPr>
                <w:sz w:val="19"/>
                <w:szCs w:val="19"/>
              </w:rPr>
              <w:t>eporting; data provided on request rather than through live dashboards</w:t>
            </w:r>
          </w:p>
        </w:tc>
      </w:tr>
      <w:tr w:rsidR="00F81FB6" w14:paraId="35F9E017" w14:textId="77777777">
        <w:tblPrEx>
          <w:tblCellMar>
            <w:top w:w="0" w:type="dxa"/>
            <w:bottom w:w="0" w:type="dxa"/>
          </w:tblCellMar>
        </w:tblPrEx>
        <w:tc>
          <w:tcPr>
            <w:tcW w:w="700" w:type="dxa"/>
            <w:tcBorders>
              <w:top w:val="single" w:sz="4" w:space="0" w:color="CCCCCC"/>
              <w:left w:val="single" w:sz="4" w:space="0" w:color="CCCCCC"/>
              <w:bottom w:val="single" w:sz="4" w:space="0" w:color="CCCCCC"/>
              <w:right w:val="single" w:sz="4" w:space="0" w:color="CCCCCC"/>
            </w:tcBorders>
            <w:shd w:val="clear" w:color="auto" w:fill="FFEBEE"/>
            <w:vAlign w:val="center"/>
          </w:tcPr>
          <w:p w14:paraId="4CFBD74C" w14:textId="77777777" w:rsidR="00F81FB6" w:rsidRDefault="00571C04">
            <w:pPr>
              <w:spacing w:before="60" w:after="60"/>
              <w:jc w:val="center"/>
            </w:pPr>
            <w:r>
              <w:rPr>
                <w:b/>
                <w:bCs/>
                <w:color w:val="C00000"/>
                <w:sz w:val="24"/>
                <w:szCs w:val="24"/>
              </w:rPr>
              <w:t>1</w:t>
            </w:r>
          </w:p>
        </w:tc>
        <w:tc>
          <w:tcPr>
            <w:tcW w:w="1000" w:type="dxa"/>
            <w:tcBorders>
              <w:top w:val="single" w:sz="4" w:space="0" w:color="CCCCCC"/>
              <w:left w:val="single" w:sz="4" w:space="0" w:color="CCCCCC"/>
              <w:bottom w:val="single" w:sz="4" w:space="0" w:color="CCCCCC"/>
              <w:right w:val="single" w:sz="4" w:space="0" w:color="CCCCCC"/>
            </w:tcBorders>
            <w:shd w:val="clear" w:color="auto" w:fill="FFEBEE"/>
            <w:vAlign w:val="center"/>
          </w:tcPr>
          <w:p w14:paraId="747F5214" w14:textId="77777777" w:rsidR="00F81FB6" w:rsidRDefault="00571C04">
            <w:pPr>
              <w:spacing w:before="60" w:after="60"/>
              <w:jc w:val="center"/>
            </w:pPr>
            <w:r>
              <w:rPr>
                <w:b/>
                <w:bCs/>
                <w:color w:val="C00000"/>
                <w:sz w:val="20"/>
                <w:szCs w:val="20"/>
              </w:rPr>
              <w:t>Poor</w:t>
            </w:r>
          </w:p>
        </w:tc>
        <w:tc>
          <w:tcPr>
            <w:tcW w:w="7660" w:type="dxa"/>
            <w:tcBorders>
              <w:top w:val="single" w:sz="4" w:space="0" w:color="CCCCCC"/>
              <w:left w:val="single" w:sz="4" w:space="0" w:color="CCCCCC"/>
              <w:bottom w:val="single" w:sz="4" w:space="0" w:color="CCCCCC"/>
              <w:right w:val="single" w:sz="4" w:space="0" w:color="CCCCCC"/>
            </w:tcBorders>
            <w:shd w:val="clear" w:color="auto" w:fill="FFEBEE"/>
          </w:tcPr>
          <w:p w14:paraId="537CB071" w14:textId="77777777" w:rsidR="00F81FB6" w:rsidRDefault="00571C04">
            <w:pPr>
              <w:pStyle w:val="ListParagraph"/>
              <w:numPr>
                <w:ilvl w:val="0"/>
                <w:numId w:val="2"/>
              </w:numPr>
              <w:spacing w:after="30"/>
            </w:pPr>
            <w:r>
              <w:rPr>
                <w:sz w:val="19"/>
                <w:szCs w:val="19"/>
              </w:rPr>
              <w:t>No TMS or paper-based transportation management; no WMS or spreadsheet-based warehouse management</w:t>
            </w:r>
          </w:p>
          <w:p w14:paraId="7189BD88" w14:textId="77777777" w:rsidR="00F81FB6" w:rsidRDefault="00571C04">
            <w:pPr>
              <w:pStyle w:val="ListParagraph"/>
              <w:numPr>
                <w:ilvl w:val="0"/>
                <w:numId w:val="2"/>
              </w:numPr>
              <w:spacing w:after="30"/>
            </w:pPr>
            <w:r>
              <w:rPr>
                <w:sz w:val="19"/>
                <w:szCs w:val="19"/>
              </w:rPr>
              <w:t>No real-time tracking; manual check-in/check-out status updates only</w:t>
            </w:r>
          </w:p>
          <w:p w14:paraId="4C390C7B" w14:textId="77777777" w:rsidR="00F81FB6" w:rsidRDefault="00571C04">
            <w:pPr>
              <w:pStyle w:val="ListParagraph"/>
              <w:numPr>
                <w:ilvl w:val="0"/>
                <w:numId w:val="2"/>
              </w:numPr>
              <w:spacing w:after="30"/>
            </w:pPr>
            <w:r>
              <w:rPr>
                <w:sz w:val="19"/>
                <w:szCs w:val="19"/>
              </w:rPr>
              <w:t>No EDI capability; manual invoicing and document exchange processes</w:t>
            </w:r>
          </w:p>
          <w:p w14:paraId="43A0B11C" w14:textId="77777777" w:rsidR="00F81FB6" w:rsidRDefault="00571C04">
            <w:pPr>
              <w:pStyle w:val="ListParagraph"/>
              <w:numPr>
                <w:ilvl w:val="0"/>
                <w:numId w:val="2"/>
              </w:numPr>
              <w:spacing w:after="30"/>
            </w:pPr>
            <w:r>
              <w:rPr>
                <w:sz w:val="19"/>
                <w:szCs w:val="19"/>
              </w:rPr>
              <w:t>No cybersecurity prog</w:t>
            </w:r>
            <w:r>
              <w:rPr>
                <w:sz w:val="19"/>
                <w:szCs w:val="19"/>
              </w:rPr>
              <w:t>ram; no data protection controls identified</w:t>
            </w:r>
          </w:p>
          <w:p w14:paraId="06B764A1" w14:textId="77777777" w:rsidR="00F81FB6" w:rsidRDefault="00571C04">
            <w:pPr>
              <w:pStyle w:val="ListParagraph"/>
              <w:numPr>
                <w:ilvl w:val="0"/>
                <w:numId w:val="2"/>
              </w:numPr>
              <w:spacing w:after="30"/>
            </w:pPr>
            <w:r>
              <w:rPr>
                <w:sz w:val="19"/>
                <w:szCs w:val="19"/>
              </w:rPr>
              <w:t>No telematics; no driver behavior monitoring capabilities</w:t>
            </w:r>
          </w:p>
          <w:p w14:paraId="449C25B7" w14:textId="77777777" w:rsidR="00F81FB6" w:rsidRDefault="00571C04">
            <w:pPr>
              <w:pStyle w:val="ListParagraph"/>
              <w:numPr>
                <w:ilvl w:val="0"/>
                <w:numId w:val="2"/>
              </w:numPr>
              <w:spacing w:after="30"/>
            </w:pPr>
            <w:r>
              <w:rPr>
                <w:sz w:val="19"/>
                <w:szCs w:val="19"/>
              </w:rPr>
              <w:t>No cold chain monitoring technology; manual logs with significant gaps</w:t>
            </w:r>
          </w:p>
          <w:p w14:paraId="355FC448" w14:textId="77777777" w:rsidR="00F81FB6" w:rsidRDefault="00571C04">
            <w:pPr>
              <w:pStyle w:val="ListParagraph"/>
              <w:numPr>
                <w:ilvl w:val="0"/>
                <w:numId w:val="2"/>
              </w:numPr>
              <w:spacing w:after="30"/>
            </w:pPr>
            <w:r>
              <w:rPr>
                <w:sz w:val="19"/>
                <w:szCs w:val="19"/>
              </w:rPr>
              <w:t>No standardized reporting; ad hoc data provision only</w:t>
            </w:r>
          </w:p>
        </w:tc>
      </w:tr>
    </w:tbl>
    <w:p w14:paraId="4E169557" w14:textId="77777777" w:rsidR="00F81FB6" w:rsidRDefault="00F81FB6">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81FB6" w14:paraId="6A701ABB"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4E79"/>
          </w:tcPr>
          <w:p w14:paraId="536C1348" w14:textId="77777777" w:rsidR="00F81FB6" w:rsidRDefault="00571C04">
            <w:pPr>
              <w:pStyle w:val="SectionHeader"/>
              <w:spacing w:before="120" w:after="40"/>
              <w:ind w:left="160"/>
            </w:pPr>
            <w:r>
              <w:t>SECTION D</w:t>
            </w:r>
          </w:p>
          <w:p w14:paraId="742C817A" w14:textId="77777777" w:rsidR="00F81FB6" w:rsidRDefault="00571C04">
            <w:pPr>
              <w:spacing w:after="120"/>
              <w:ind w:left="160"/>
            </w:pPr>
            <w:r>
              <w:rPr>
                <w:i/>
                <w:iCs/>
                <w:color w:val="BDD7EE"/>
                <w:sz w:val="19"/>
                <w:szCs w:val="19"/>
              </w:rPr>
              <w:t>Risk Level Definitions</w:t>
            </w:r>
          </w:p>
        </w:tc>
      </w:tr>
    </w:tbl>
    <w:p w14:paraId="69BE6A0C" w14:textId="77777777" w:rsidR="00F81FB6" w:rsidRDefault="00F81FB6">
      <w:pPr>
        <w:spacing w:after="120"/>
      </w:pPr>
    </w:p>
    <w:p w14:paraId="48F740B3" w14:textId="77777777" w:rsidR="00F81FB6" w:rsidRDefault="00571C04">
      <w:pPr>
        <w:pStyle w:val="BodyText"/>
      </w:pPr>
      <w:r>
        <w:t>Map the vendor's composite score (sum of all weighted category scores) to the appropriate risk tier. Color-coded risk levels drive approval authority and required actions per Section F.</w:t>
      </w:r>
    </w:p>
    <w:p w14:paraId="5079F3E9" w14:textId="77777777" w:rsidR="00F81FB6" w:rsidRDefault="00F81FB6"/>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1000"/>
        <w:gridCol w:w="1600"/>
        <w:gridCol w:w="2080"/>
        <w:gridCol w:w="3080"/>
      </w:tblGrid>
      <w:tr w:rsidR="00F81FB6" w14:paraId="44707FA6" w14:textId="77777777">
        <w:tblPrEx>
          <w:tblCellMar>
            <w:top w:w="0" w:type="dxa"/>
            <w:bottom w:w="0" w:type="dxa"/>
          </w:tblCellMar>
        </w:tblPrEx>
        <w:trPr>
          <w:tblHeader/>
        </w:trPr>
        <w:tc>
          <w:tcPr>
            <w:tcW w:w="1600" w:type="dxa"/>
            <w:tcBorders>
              <w:top w:val="single" w:sz="4" w:space="0" w:color="CCCCCC"/>
              <w:left w:val="single" w:sz="4" w:space="0" w:color="CCCCCC"/>
              <w:bottom w:val="single" w:sz="4" w:space="0" w:color="CCCCCC"/>
              <w:right w:val="single" w:sz="4" w:space="0" w:color="CCCCCC"/>
            </w:tcBorders>
            <w:shd w:val="clear" w:color="auto" w:fill="1F4E79"/>
            <w:vAlign w:val="center"/>
          </w:tcPr>
          <w:p w14:paraId="718F0629" w14:textId="77777777" w:rsidR="00F81FB6" w:rsidRDefault="00571C04">
            <w:pPr>
              <w:spacing w:before="60" w:after="60"/>
              <w:jc w:val="center"/>
            </w:pPr>
            <w:r>
              <w:rPr>
                <w:b/>
                <w:bCs/>
                <w:color w:val="FFFFFF"/>
                <w:sz w:val="20"/>
                <w:szCs w:val="20"/>
              </w:rPr>
              <w:t>Score Range</w:t>
            </w:r>
          </w:p>
        </w:tc>
        <w:tc>
          <w:tcPr>
            <w:tcW w:w="1000" w:type="dxa"/>
            <w:tcBorders>
              <w:top w:val="single" w:sz="4" w:space="0" w:color="CCCCCC"/>
              <w:left w:val="single" w:sz="4" w:space="0" w:color="CCCCCC"/>
              <w:bottom w:val="single" w:sz="4" w:space="0" w:color="CCCCCC"/>
              <w:right w:val="single" w:sz="4" w:space="0" w:color="CCCCCC"/>
            </w:tcBorders>
            <w:shd w:val="clear" w:color="auto" w:fill="1F4E79"/>
            <w:vAlign w:val="center"/>
          </w:tcPr>
          <w:p w14:paraId="16EC4EE7" w14:textId="77777777" w:rsidR="00F81FB6" w:rsidRDefault="00571C04">
            <w:pPr>
              <w:spacing w:before="60" w:after="60"/>
              <w:jc w:val="center"/>
            </w:pPr>
            <w:r>
              <w:rPr>
                <w:b/>
                <w:bCs/>
                <w:color w:val="FFFFFF"/>
                <w:sz w:val="20"/>
                <w:szCs w:val="20"/>
              </w:rPr>
              <w:t>% of Max</w:t>
            </w:r>
          </w:p>
        </w:tc>
        <w:tc>
          <w:tcPr>
            <w:tcW w:w="1600" w:type="dxa"/>
            <w:tcBorders>
              <w:top w:val="single" w:sz="4" w:space="0" w:color="CCCCCC"/>
              <w:left w:val="single" w:sz="4" w:space="0" w:color="CCCCCC"/>
              <w:bottom w:val="single" w:sz="4" w:space="0" w:color="CCCCCC"/>
              <w:right w:val="single" w:sz="4" w:space="0" w:color="CCCCCC"/>
            </w:tcBorders>
            <w:shd w:val="clear" w:color="auto" w:fill="1F4E79"/>
            <w:vAlign w:val="center"/>
          </w:tcPr>
          <w:p w14:paraId="029BBF13" w14:textId="77777777" w:rsidR="00F81FB6" w:rsidRDefault="00571C04">
            <w:pPr>
              <w:spacing w:before="60" w:after="60"/>
              <w:jc w:val="center"/>
            </w:pPr>
            <w:r>
              <w:rPr>
                <w:b/>
                <w:bCs/>
                <w:color w:val="FFFFFF"/>
                <w:sz w:val="20"/>
                <w:szCs w:val="20"/>
              </w:rPr>
              <w:t>Risk Level</w:t>
            </w:r>
          </w:p>
        </w:tc>
        <w:tc>
          <w:tcPr>
            <w:tcW w:w="2080" w:type="dxa"/>
            <w:tcBorders>
              <w:top w:val="single" w:sz="4" w:space="0" w:color="CCCCCC"/>
              <w:left w:val="single" w:sz="4" w:space="0" w:color="CCCCCC"/>
              <w:bottom w:val="single" w:sz="4" w:space="0" w:color="CCCCCC"/>
              <w:right w:val="single" w:sz="4" w:space="0" w:color="CCCCCC"/>
            </w:tcBorders>
            <w:shd w:val="clear" w:color="auto" w:fill="1F4E79"/>
            <w:vAlign w:val="center"/>
          </w:tcPr>
          <w:p w14:paraId="2BFDF67F" w14:textId="77777777" w:rsidR="00F81FB6" w:rsidRDefault="00571C04">
            <w:pPr>
              <w:spacing w:before="60" w:after="60"/>
              <w:jc w:val="center"/>
            </w:pPr>
            <w:r>
              <w:rPr>
                <w:b/>
                <w:bCs/>
                <w:color w:val="FFFFFF"/>
                <w:sz w:val="20"/>
                <w:szCs w:val="20"/>
              </w:rPr>
              <w:t>Recommended Decision</w:t>
            </w:r>
          </w:p>
        </w:tc>
        <w:tc>
          <w:tcPr>
            <w:tcW w:w="3080" w:type="dxa"/>
            <w:tcBorders>
              <w:top w:val="single" w:sz="4" w:space="0" w:color="CCCCCC"/>
              <w:left w:val="single" w:sz="4" w:space="0" w:color="CCCCCC"/>
              <w:bottom w:val="single" w:sz="4" w:space="0" w:color="CCCCCC"/>
              <w:right w:val="single" w:sz="4" w:space="0" w:color="CCCCCC"/>
            </w:tcBorders>
            <w:shd w:val="clear" w:color="auto" w:fill="1F4E79"/>
            <w:vAlign w:val="center"/>
          </w:tcPr>
          <w:p w14:paraId="48E641A0" w14:textId="77777777" w:rsidR="00F81FB6" w:rsidRDefault="00571C04">
            <w:pPr>
              <w:spacing w:before="60" w:after="60"/>
              <w:jc w:val="center"/>
            </w:pPr>
            <w:r>
              <w:rPr>
                <w:b/>
                <w:bCs/>
                <w:color w:val="FFFFFF"/>
                <w:sz w:val="20"/>
                <w:szCs w:val="20"/>
              </w:rPr>
              <w:t>Key Implications</w:t>
            </w:r>
            <w:r>
              <w:rPr>
                <w:b/>
                <w:bCs/>
                <w:color w:val="FFFFFF"/>
                <w:sz w:val="20"/>
                <w:szCs w:val="20"/>
              </w:rPr>
              <w:t xml:space="preserve"> for Logistics Vendors</w:t>
            </w:r>
          </w:p>
        </w:tc>
      </w:tr>
      <w:tr w:rsidR="00F81FB6" w14:paraId="76CCDEA3" w14:textId="77777777">
        <w:tblPrEx>
          <w:tblCellMar>
            <w:top w:w="0" w:type="dxa"/>
            <w:bottom w:w="0" w:type="dxa"/>
          </w:tblCellMar>
        </w:tblPrEx>
        <w:tc>
          <w:tcPr>
            <w:tcW w:w="1600" w:type="dxa"/>
            <w:tcBorders>
              <w:top w:val="single" w:sz="4" w:space="0" w:color="CCCCCC"/>
              <w:left w:val="single" w:sz="4" w:space="0" w:color="CCCCCC"/>
              <w:bottom w:val="single" w:sz="4" w:space="0" w:color="CCCCCC"/>
              <w:right w:val="single" w:sz="4" w:space="0" w:color="CCCCCC"/>
            </w:tcBorders>
            <w:shd w:val="clear" w:color="auto" w:fill="E8F5E9"/>
          </w:tcPr>
          <w:p w14:paraId="2ADDEC0E" w14:textId="77777777" w:rsidR="00F81FB6" w:rsidRDefault="00571C04">
            <w:pPr>
              <w:spacing w:before="60" w:after="60"/>
              <w:jc w:val="center"/>
            </w:pPr>
            <w:r>
              <w:rPr>
                <w:b/>
                <w:bCs/>
                <w:color w:val="2F2F2F"/>
                <w:sz w:val="20"/>
                <w:szCs w:val="20"/>
              </w:rPr>
              <w:t>320 – 400 pts</w:t>
            </w:r>
          </w:p>
        </w:tc>
        <w:tc>
          <w:tcPr>
            <w:tcW w:w="1000" w:type="dxa"/>
            <w:tcBorders>
              <w:top w:val="single" w:sz="4" w:space="0" w:color="CCCCCC"/>
              <w:left w:val="single" w:sz="4" w:space="0" w:color="CCCCCC"/>
              <w:bottom w:val="single" w:sz="4" w:space="0" w:color="CCCCCC"/>
              <w:right w:val="single" w:sz="4" w:space="0" w:color="CCCCCC"/>
            </w:tcBorders>
            <w:shd w:val="clear" w:color="auto" w:fill="E8F5E9"/>
          </w:tcPr>
          <w:p w14:paraId="1EB5AC61" w14:textId="77777777" w:rsidR="00F81FB6" w:rsidRDefault="00571C04">
            <w:pPr>
              <w:spacing w:before="60" w:after="60"/>
              <w:jc w:val="center"/>
            </w:pPr>
            <w:r>
              <w:rPr>
                <w:color w:val="2F2F2F"/>
                <w:sz w:val="20"/>
                <w:szCs w:val="20"/>
              </w:rPr>
              <w:t>80 – 100%</w:t>
            </w:r>
          </w:p>
        </w:tc>
        <w:tc>
          <w:tcPr>
            <w:tcW w:w="1600" w:type="dxa"/>
            <w:tcBorders>
              <w:top w:val="single" w:sz="4" w:space="0" w:color="CCCCCC"/>
              <w:left w:val="single" w:sz="4" w:space="0" w:color="CCCCCC"/>
              <w:bottom w:val="single" w:sz="4" w:space="0" w:color="CCCCCC"/>
              <w:right w:val="single" w:sz="4" w:space="0" w:color="CCCCCC"/>
            </w:tcBorders>
            <w:shd w:val="clear" w:color="auto" w:fill="E8F5E9"/>
          </w:tcPr>
          <w:p w14:paraId="3AA2D02B" w14:textId="77777777" w:rsidR="00F81FB6" w:rsidRDefault="00571C04">
            <w:pPr>
              <w:spacing w:before="60" w:after="60"/>
              <w:jc w:val="center"/>
            </w:pPr>
            <w:r>
              <w:rPr>
                <w:b/>
                <w:bCs/>
                <w:color w:val="1A7432"/>
                <w:sz w:val="20"/>
                <w:szCs w:val="20"/>
              </w:rPr>
              <w:t>●  LOW RISK</w:t>
            </w:r>
          </w:p>
        </w:tc>
        <w:tc>
          <w:tcPr>
            <w:tcW w:w="2080" w:type="dxa"/>
            <w:tcBorders>
              <w:top w:val="single" w:sz="4" w:space="0" w:color="CCCCCC"/>
              <w:left w:val="single" w:sz="4" w:space="0" w:color="CCCCCC"/>
              <w:bottom w:val="single" w:sz="4" w:space="0" w:color="CCCCCC"/>
              <w:right w:val="single" w:sz="4" w:space="0" w:color="CCCCCC"/>
            </w:tcBorders>
            <w:shd w:val="clear" w:color="auto" w:fill="E8F5E9"/>
          </w:tcPr>
          <w:p w14:paraId="1318CDAD" w14:textId="77777777" w:rsidR="00F81FB6" w:rsidRDefault="00571C04">
            <w:pPr>
              <w:spacing w:before="60" w:after="60"/>
              <w:jc w:val="center"/>
            </w:pPr>
            <w:r>
              <w:rPr>
                <w:b/>
                <w:bCs/>
                <w:color w:val="1A7432"/>
                <w:sz w:val="20"/>
                <w:szCs w:val="20"/>
              </w:rPr>
              <w:t>Approve</w:t>
            </w:r>
          </w:p>
        </w:tc>
        <w:tc>
          <w:tcPr>
            <w:tcW w:w="3080" w:type="dxa"/>
            <w:tcBorders>
              <w:top w:val="single" w:sz="4" w:space="0" w:color="CCCCCC"/>
              <w:left w:val="single" w:sz="4" w:space="0" w:color="CCCCCC"/>
              <w:bottom w:val="single" w:sz="4" w:space="0" w:color="CCCCCC"/>
              <w:right w:val="single" w:sz="4" w:space="0" w:color="CCCCCC"/>
            </w:tcBorders>
            <w:shd w:val="clear" w:color="auto" w:fill="E8F5E9"/>
          </w:tcPr>
          <w:p w14:paraId="39972756" w14:textId="77777777" w:rsidR="00F81FB6" w:rsidRDefault="00571C04">
            <w:pPr>
              <w:spacing w:before="60" w:after="60"/>
            </w:pPr>
            <w:r>
              <w:rPr>
                <w:color w:val="2F2F2F"/>
                <w:sz w:val="20"/>
                <w:szCs w:val="20"/>
              </w:rPr>
              <w:t>Standard MSA / transportation agreement terms; routine performance monitoring; annual re-evaluation</w:t>
            </w:r>
          </w:p>
        </w:tc>
      </w:tr>
      <w:tr w:rsidR="00F81FB6" w14:paraId="7D192ED5" w14:textId="77777777">
        <w:tblPrEx>
          <w:tblCellMar>
            <w:top w:w="0" w:type="dxa"/>
            <w:bottom w:w="0" w:type="dxa"/>
          </w:tblCellMar>
        </w:tblPrEx>
        <w:tc>
          <w:tcPr>
            <w:tcW w:w="1600" w:type="dxa"/>
            <w:tcBorders>
              <w:top w:val="single" w:sz="4" w:space="0" w:color="CCCCCC"/>
              <w:left w:val="single" w:sz="4" w:space="0" w:color="CCCCCC"/>
              <w:bottom w:val="single" w:sz="4" w:space="0" w:color="CCCCCC"/>
              <w:right w:val="single" w:sz="4" w:space="0" w:color="CCCCCC"/>
            </w:tcBorders>
            <w:shd w:val="clear" w:color="auto" w:fill="FFFDE7"/>
          </w:tcPr>
          <w:p w14:paraId="2C860F99" w14:textId="77777777" w:rsidR="00F81FB6" w:rsidRDefault="00571C04">
            <w:pPr>
              <w:spacing w:before="60" w:after="60"/>
              <w:jc w:val="center"/>
            </w:pPr>
            <w:r>
              <w:rPr>
                <w:b/>
                <w:bCs/>
                <w:color w:val="2F2F2F"/>
                <w:sz w:val="20"/>
                <w:szCs w:val="20"/>
              </w:rPr>
              <w:t>240 – 319 pts</w:t>
            </w:r>
          </w:p>
        </w:tc>
        <w:tc>
          <w:tcPr>
            <w:tcW w:w="1000" w:type="dxa"/>
            <w:tcBorders>
              <w:top w:val="single" w:sz="4" w:space="0" w:color="CCCCCC"/>
              <w:left w:val="single" w:sz="4" w:space="0" w:color="CCCCCC"/>
              <w:bottom w:val="single" w:sz="4" w:space="0" w:color="CCCCCC"/>
              <w:right w:val="single" w:sz="4" w:space="0" w:color="CCCCCC"/>
            </w:tcBorders>
            <w:shd w:val="clear" w:color="auto" w:fill="FFFDE7"/>
          </w:tcPr>
          <w:p w14:paraId="2E112824" w14:textId="77777777" w:rsidR="00F81FB6" w:rsidRDefault="00571C04">
            <w:pPr>
              <w:spacing w:before="60" w:after="60"/>
              <w:jc w:val="center"/>
            </w:pPr>
            <w:r>
              <w:rPr>
                <w:color w:val="2F2F2F"/>
                <w:sz w:val="20"/>
                <w:szCs w:val="20"/>
              </w:rPr>
              <w:t>60 – 79%</w:t>
            </w:r>
          </w:p>
        </w:tc>
        <w:tc>
          <w:tcPr>
            <w:tcW w:w="1600" w:type="dxa"/>
            <w:tcBorders>
              <w:top w:val="single" w:sz="4" w:space="0" w:color="CCCCCC"/>
              <w:left w:val="single" w:sz="4" w:space="0" w:color="CCCCCC"/>
              <w:bottom w:val="single" w:sz="4" w:space="0" w:color="CCCCCC"/>
              <w:right w:val="single" w:sz="4" w:space="0" w:color="CCCCCC"/>
            </w:tcBorders>
            <w:shd w:val="clear" w:color="auto" w:fill="FFFDE7"/>
          </w:tcPr>
          <w:p w14:paraId="633DB276" w14:textId="77777777" w:rsidR="00F81FB6" w:rsidRDefault="00571C04">
            <w:pPr>
              <w:spacing w:before="60" w:after="60"/>
              <w:jc w:val="center"/>
            </w:pPr>
            <w:r>
              <w:rPr>
                <w:b/>
                <w:bCs/>
                <w:color w:val="E65100"/>
                <w:sz w:val="20"/>
                <w:szCs w:val="20"/>
              </w:rPr>
              <w:t>●  MEDIUM RISK</w:t>
            </w:r>
          </w:p>
        </w:tc>
        <w:tc>
          <w:tcPr>
            <w:tcW w:w="2080" w:type="dxa"/>
            <w:tcBorders>
              <w:top w:val="single" w:sz="4" w:space="0" w:color="CCCCCC"/>
              <w:left w:val="single" w:sz="4" w:space="0" w:color="CCCCCC"/>
              <w:bottom w:val="single" w:sz="4" w:space="0" w:color="CCCCCC"/>
              <w:right w:val="single" w:sz="4" w:space="0" w:color="CCCCCC"/>
            </w:tcBorders>
            <w:shd w:val="clear" w:color="auto" w:fill="FFFDE7"/>
          </w:tcPr>
          <w:p w14:paraId="50F43A59" w14:textId="77777777" w:rsidR="00F81FB6" w:rsidRDefault="00571C04">
            <w:pPr>
              <w:spacing w:before="60" w:after="60"/>
              <w:jc w:val="center"/>
            </w:pPr>
            <w:r>
              <w:rPr>
                <w:b/>
                <w:bCs/>
                <w:color w:val="E65100"/>
                <w:sz w:val="20"/>
                <w:szCs w:val="20"/>
              </w:rPr>
              <w:t>Conditional Approval</w:t>
            </w:r>
          </w:p>
        </w:tc>
        <w:tc>
          <w:tcPr>
            <w:tcW w:w="3080" w:type="dxa"/>
            <w:tcBorders>
              <w:top w:val="single" w:sz="4" w:space="0" w:color="CCCCCC"/>
              <w:left w:val="single" w:sz="4" w:space="0" w:color="CCCCCC"/>
              <w:bottom w:val="single" w:sz="4" w:space="0" w:color="CCCCCC"/>
              <w:right w:val="single" w:sz="4" w:space="0" w:color="CCCCCC"/>
            </w:tcBorders>
            <w:shd w:val="clear" w:color="auto" w:fill="FFFDE7"/>
          </w:tcPr>
          <w:p w14:paraId="446F4E3C" w14:textId="77777777" w:rsidR="00F81FB6" w:rsidRDefault="00571C04">
            <w:pPr>
              <w:spacing w:before="60" w:after="60"/>
            </w:pPr>
            <w:r>
              <w:rPr>
                <w:color w:val="2F2F2F"/>
                <w:sz w:val="20"/>
                <w:szCs w:val="20"/>
              </w:rPr>
              <w:t>Enhanced monitoring; quarterly performance reviews; cargo insurance verification quarterly; dedicated account manager required; SLA penalties with financial teeth</w:t>
            </w:r>
          </w:p>
        </w:tc>
      </w:tr>
      <w:tr w:rsidR="00F81FB6" w14:paraId="30999E60" w14:textId="77777777">
        <w:tblPrEx>
          <w:tblCellMar>
            <w:top w:w="0" w:type="dxa"/>
            <w:bottom w:w="0" w:type="dxa"/>
          </w:tblCellMar>
        </w:tblPrEx>
        <w:tc>
          <w:tcPr>
            <w:tcW w:w="1600" w:type="dxa"/>
            <w:tcBorders>
              <w:top w:val="single" w:sz="4" w:space="0" w:color="CCCCCC"/>
              <w:left w:val="single" w:sz="4" w:space="0" w:color="CCCCCC"/>
              <w:bottom w:val="single" w:sz="4" w:space="0" w:color="CCCCCC"/>
              <w:right w:val="single" w:sz="4" w:space="0" w:color="CCCCCC"/>
            </w:tcBorders>
            <w:shd w:val="clear" w:color="auto" w:fill="FFF3E0"/>
          </w:tcPr>
          <w:p w14:paraId="4A2695D1" w14:textId="77777777" w:rsidR="00F81FB6" w:rsidRDefault="00571C04">
            <w:pPr>
              <w:spacing w:before="60" w:after="60"/>
              <w:jc w:val="center"/>
            </w:pPr>
            <w:r>
              <w:rPr>
                <w:b/>
                <w:bCs/>
                <w:color w:val="2F2F2F"/>
                <w:sz w:val="20"/>
                <w:szCs w:val="20"/>
              </w:rPr>
              <w:t>160 – 239 pts</w:t>
            </w:r>
          </w:p>
        </w:tc>
        <w:tc>
          <w:tcPr>
            <w:tcW w:w="1000" w:type="dxa"/>
            <w:tcBorders>
              <w:top w:val="single" w:sz="4" w:space="0" w:color="CCCCCC"/>
              <w:left w:val="single" w:sz="4" w:space="0" w:color="CCCCCC"/>
              <w:bottom w:val="single" w:sz="4" w:space="0" w:color="CCCCCC"/>
              <w:right w:val="single" w:sz="4" w:space="0" w:color="CCCCCC"/>
            </w:tcBorders>
            <w:shd w:val="clear" w:color="auto" w:fill="FFF3E0"/>
          </w:tcPr>
          <w:p w14:paraId="454E5741" w14:textId="77777777" w:rsidR="00F81FB6" w:rsidRDefault="00571C04">
            <w:pPr>
              <w:spacing w:before="60" w:after="60"/>
              <w:jc w:val="center"/>
            </w:pPr>
            <w:r>
              <w:rPr>
                <w:color w:val="2F2F2F"/>
                <w:sz w:val="20"/>
                <w:szCs w:val="20"/>
              </w:rPr>
              <w:t>40 – 59%</w:t>
            </w:r>
          </w:p>
        </w:tc>
        <w:tc>
          <w:tcPr>
            <w:tcW w:w="1600" w:type="dxa"/>
            <w:tcBorders>
              <w:top w:val="single" w:sz="4" w:space="0" w:color="CCCCCC"/>
              <w:left w:val="single" w:sz="4" w:space="0" w:color="CCCCCC"/>
              <w:bottom w:val="single" w:sz="4" w:space="0" w:color="CCCCCC"/>
              <w:right w:val="single" w:sz="4" w:space="0" w:color="CCCCCC"/>
            </w:tcBorders>
            <w:shd w:val="clear" w:color="auto" w:fill="FFF3E0"/>
          </w:tcPr>
          <w:p w14:paraId="69763AC4" w14:textId="77777777" w:rsidR="00F81FB6" w:rsidRDefault="00571C04">
            <w:pPr>
              <w:spacing w:before="60" w:after="60"/>
              <w:jc w:val="center"/>
            </w:pPr>
            <w:r>
              <w:rPr>
                <w:b/>
                <w:bCs/>
                <w:color w:val="BF360C"/>
                <w:sz w:val="20"/>
                <w:szCs w:val="20"/>
              </w:rPr>
              <w:t>●  HIGH RISK</w:t>
            </w:r>
          </w:p>
        </w:tc>
        <w:tc>
          <w:tcPr>
            <w:tcW w:w="2080" w:type="dxa"/>
            <w:tcBorders>
              <w:top w:val="single" w:sz="4" w:space="0" w:color="CCCCCC"/>
              <w:left w:val="single" w:sz="4" w:space="0" w:color="CCCCCC"/>
              <w:bottom w:val="single" w:sz="4" w:space="0" w:color="CCCCCC"/>
              <w:right w:val="single" w:sz="4" w:space="0" w:color="CCCCCC"/>
            </w:tcBorders>
            <w:shd w:val="clear" w:color="auto" w:fill="FFF3E0"/>
          </w:tcPr>
          <w:p w14:paraId="77B96F74" w14:textId="77777777" w:rsidR="00F81FB6" w:rsidRDefault="00571C04">
            <w:pPr>
              <w:spacing w:before="60" w:after="60"/>
              <w:jc w:val="center"/>
            </w:pPr>
            <w:r>
              <w:rPr>
                <w:b/>
                <w:bCs/>
                <w:color w:val="BF360C"/>
                <w:sz w:val="20"/>
                <w:szCs w:val="20"/>
              </w:rPr>
              <w:t>Executive Review Required</w:t>
            </w:r>
          </w:p>
        </w:tc>
        <w:tc>
          <w:tcPr>
            <w:tcW w:w="3080" w:type="dxa"/>
            <w:tcBorders>
              <w:top w:val="single" w:sz="4" w:space="0" w:color="CCCCCC"/>
              <w:left w:val="single" w:sz="4" w:space="0" w:color="CCCCCC"/>
              <w:bottom w:val="single" w:sz="4" w:space="0" w:color="CCCCCC"/>
              <w:right w:val="single" w:sz="4" w:space="0" w:color="CCCCCC"/>
            </w:tcBorders>
            <w:shd w:val="clear" w:color="auto" w:fill="FFF3E0"/>
          </w:tcPr>
          <w:p w14:paraId="1FF5B7D1" w14:textId="77777777" w:rsidR="00F81FB6" w:rsidRDefault="00571C04">
            <w:pPr>
              <w:spacing w:before="60" w:after="60"/>
            </w:pPr>
            <w:r>
              <w:rPr>
                <w:color w:val="2F2F2F"/>
                <w:sz w:val="20"/>
                <w:szCs w:val="20"/>
              </w:rPr>
              <w:t>Weekly reporting; dedicated WWRGD oversight; reduced lane/scope assignment; mandatory safety improvement plan; monthly FMCSA/DOT compliance verification</w:t>
            </w:r>
          </w:p>
        </w:tc>
      </w:tr>
      <w:tr w:rsidR="00F81FB6" w14:paraId="3D138016" w14:textId="77777777">
        <w:tblPrEx>
          <w:tblCellMar>
            <w:top w:w="0" w:type="dxa"/>
            <w:bottom w:w="0" w:type="dxa"/>
          </w:tblCellMar>
        </w:tblPrEx>
        <w:tc>
          <w:tcPr>
            <w:tcW w:w="1600" w:type="dxa"/>
            <w:tcBorders>
              <w:top w:val="single" w:sz="4" w:space="0" w:color="CCCCCC"/>
              <w:left w:val="single" w:sz="4" w:space="0" w:color="CCCCCC"/>
              <w:bottom w:val="single" w:sz="4" w:space="0" w:color="CCCCCC"/>
              <w:right w:val="single" w:sz="4" w:space="0" w:color="CCCCCC"/>
            </w:tcBorders>
            <w:shd w:val="clear" w:color="auto" w:fill="FFEBEE"/>
          </w:tcPr>
          <w:p w14:paraId="105D8D5D" w14:textId="77777777" w:rsidR="00F81FB6" w:rsidRDefault="00571C04">
            <w:pPr>
              <w:spacing w:before="60" w:after="60"/>
              <w:jc w:val="center"/>
            </w:pPr>
            <w:r>
              <w:rPr>
                <w:b/>
                <w:bCs/>
                <w:color w:val="2F2F2F"/>
                <w:sz w:val="20"/>
                <w:szCs w:val="20"/>
              </w:rPr>
              <w:t>&lt; 160 pts</w:t>
            </w:r>
          </w:p>
        </w:tc>
        <w:tc>
          <w:tcPr>
            <w:tcW w:w="1000" w:type="dxa"/>
            <w:tcBorders>
              <w:top w:val="single" w:sz="4" w:space="0" w:color="CCCCCC"/>
              <w:left w:val="single" w:sz="4" w:space="0" w:color="CCCCCC"/>
              <w:bottom w:val="single" w:sz="4" w:space="0" w:color="CCCCCC"/>
              <w:right w:val="single" w:sz="4" w:space="0" w:color="CCCCCC"/>
            </w:tcBorders>
            <w:shd w:val="clear" w:color="auto" w:fill="FFEBEE"/>
          </w:tcPr>
          <w:p w14:paraId="7004DD02" w14:textId="77777777" w:rsidR="00F81FB6" w:rsidRDefault="00571C04">
            <w:pPr>
              <w:spacing w:before="60" w:after="60"/>
              <w:jc w:val="center"/>
            </w:pPr>
            <w:r>
              <w:rPr>
                <w:color w:val="2F2F2F"/>
                <w:sz w:val="20"/>
                <w:szCs w:val="20"/>
              </w:rPr>
              <w:t>&lt; 40%</w:t>
            </w:r>
          </w:p>
        </w:tc>
        <w:tc>
          <w:tcPr>
            <w:tcW w:w="1600" w:type="dxa"/>
            <w:tcBorders>
              <w:top w:val="single" w:sz="4" w:space="0" w:color="CCCCCC"/>
              <w:left w:val="single" w:sz="4" w:space="0" w:color="CCCCCC"/>
              <w:bottom w:val="single" w:sz="4" w:space="0" w:color="CCCCCC"/>
              <w:right w:val="single" w:sz="4" w:space="0" w:color="CCCCCC"/>
            </w:tcBorders>
            <w:shd w:val="clear" w:color="auto" w:fill="FFEBEE"/>
          </w:tcPr>
          <w:p w14:paraId="059F86B9" w14:textId="77777777" w:rsidR="00F81FB6" w:rsidRDefault="00571C04">
            <w:pPr>
              <w:spacing w:before="60" w:after="60"/>
              <w:jc w:val="center"/>
            </w:pPr>
            <w:r>
              <w:rPr>
                <w:b/>
                <w:bCs/>
                <w:color w:val="C00000"/>
                <w:sz w:val="20"/>
                <w:szCs w:val="20"/>
              </w:rPr>
              <w:t>●  CRITICAL RISK</w:t>
            </w:r>
          </w:p>
        </w:tc>
        <w:tc>
          <w:tcPr>
            <w:tcW w:w="2080" w:type="dxa"/>
            <w:tcBorders>
              <w:top w:val="single" w:sz="4" w:space="0" w:color="CCCCCC"/>
              <w:left w:val="single" w:sz="4" w:space="0" w:color="CCCCCC"/>
              <w:bottom w:val="single" w:sz="4" w:space="0" w:color="CCCCCC"/>
              <w:right w:val="single" w:sz="4" w:space="0" w:color="CCCCCC"/>
            </w:tcBorders>
            <w:shd w:val="clear" w:color="auto" w:fill="FFEBEE"/>
          </w:tcPr>
          <w:p w14:paraId="54001763" w14:textId="77777777" w:rsidR="00F81FB6" w:rsidRDefault="00571C04">
            <w:pPr>
              <w:spacing w:before="60" w:after="60"/>
              <w:jc w:val="center"/>
            </w:pPr>
            <w:r>
              <w:rPr>
                <w:b/>
                <w:bCs/>
                <w:color w:val="C00000"/>
                <w:sz w:val="20"/>
                <w:szCs w:val="20"/>
              </w:rPr>
              <w:t>Not Recommended</w:t>
            </w:r>
          </w:p>
        </w:tc>
        <w:tc>
          <w:tcPr>
            <w:tcW w:w="3080" w:type="dxa"/>
            <w:tcBorders>
              <w:top w:val="single" w:sz="4" w:space="0" w:color="CCCCCC"/>
              <w:left w:val="single" w:sz="4" w:space="0" w:color="CCCCCC"/>
              <w:bottom w:val="single" w:sz="4" w:space="0" w:color="CCCCCC"/>
              <w:right w:val="single" w:sz="4" w:space="0" w:color="CCCCCC"/>
            </w:tcBorders>
            <w:shd w:val="clear" w:color="auto" w:fill="FFEBEE"/>
          </w:tcPr>
          <w:p w14:paraId="228E02F0" w14:textId="77777777" w:rsidR="00F81FB6" w:rsidRDefault="00571C04">
            <w:pPr>
              <w:spacing w:before="60" w:after="60"/>
            </w:pPr>
            <w:r>
              <w:rPr>
                <w:color w:val="2F2F2F"/>
                <w:sz w:val="20"/>
                <w:szCs w:val="20"/>
              </w:rPr>
              <w:t>Disqualify; issue rejection letter; 12-month waiting period before re-application; document reason for procurement records</w:t>
            </w:r>
          </w:p>
        </w:tc>
      </w:tr>
    </w:tbl>
    <w:p w14:paraId="3025B019" w14:textId="77777777" w:rsidR="00F81FB6" w:rsidRDefault="00F81FB6">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81FB6" w14:paraId="1EDDCC8B"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4E79"/>
          </w:tcPr>
          <w:p w14:paraId="30E17C56" w14:textId="77777777" w:rsidR="00F81FB6" w:rsidRDefault="00571C04">
            <w:pPr>
              <w:pStyle w:val="SectionHeader"/>
              <w:spacing w:before="120" w:after="40"/>
              <w:ind w:left="160"/>
            </w:pPr>
            <w:r>
              <w:t>SECTION E</w:t>
            </w:r>
          </w:p>
          <w:p w14:paraId="556BAD22" w14:textId="77777777" w:rsidR="00F81FB6" w:rsidRDefault="00571C04">
            <w:pPr>
              <w:spacing w:after="120"/>
              <w:ind w:left="160"/>
            </w:pPr>
            <w:r>
              <w:rPr>
                <w:i/>
                <w:iCs/>
                <w:color w:val="BDD7EE"/>
                <w:sz w:val="19"/>
                <w:szCs w:val="19"/>
              </w:rPr>
              <w:t>Calculation Methodology</w:t>
            </w:r>
          </w:p>
        </w:tc>
      </w:tr>
    </w:tbl>
    <w:p w14:paraId="3DFCA625" w14:textId="77777777" w:rsidR="00F81FB6" w:rsidRDefault="00F81FB6">
      <w:pPr>
        <w:spacing w:after="120"/>
      </w:pPr>
    </w:p>
    <w:p w14:paraId="207EB561" w14:textId="77777777" w:rsidR="00F81FB6" w:rsidRDefault="00571C04">
      <w:pPr>
        <w:pStyle w:val="SubHeader"/>
      </w:pPr>
      <w:r>
        <w:t>E.1  Five-Step Scoring Process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60"/>
        <w:gridCol w:w="2200"/>
        <w:gridCol w:w="6300"/>
      </w:tblGrid>
      <w:tr w:rsidR="00F81FB6" w14:paraId="287E32D0" w14:textId="77777777">
        <w:tblPrEx>
          <w:tblCellMar>
            <w:top w:w="0" w:type="dxa"/>
            <w:bottom w:w="0" w:type="dxa"/>
          </w:tblCellMar>
        </w:tblPrEx>
        <w:trPr>
          <w:tblHeader/>
        </w:trPr>
        <w:tc>
          <w:tcPr>
            <w:tcW w:w="860" w:type="dxa"/>
            <w:tcBorders>
              <w:top w:val="single" w:sz="4" w:space="0" w:color="CCCCCC"/>
              <w:left w:val="single" w:sz="4" w:space="0" w:color="CCCCCC"/>
              <w:bottom w:val="single" w:sz="4" w:space="0" w:color="CCCCCC"/>
              <w:right w:val="single" w:sz="4" w:space="0" w:color="CCCCCC"/>
            </w:tcBorders>
            <w:shd w:val="clear" w:color="auto" w:fill="1F4E79"/>
            <w:vAlign w:val="center"/>
          </w:tcPr>
          <w:p w14:paraId="38011F35" w14:textId="77777777" w:rsidR="00F81FB6" w:rsidRDefault="00571C04">
            <w:pPr>
              <w:spacing w:before="60" w:after="60"/>
              <w:jc w:val="center"/>
            </w:pPr>
            <w:r>
              <w:rPr>
                <w:b/>
                <w:bCs/>
                <w:color w:val="FFFFFF"/>
                <w:sz w:val="20"/>
                <w:szCs w:val="20"/>
              </w:rPr>
              <w:t>Step</w:t>
            </w:r>
          </w:p>
        </w:tc>
        <w:tc>
          <w:tcPr>
            <w:tcW w:w="2200" w:type="dxa"/>
            <w:tcBorders>
              <w:top w:val="single" w:sz="4" w:space="0" w:color="CCCCCC"/>
              <w:left w:val="single" w:sz="4" w:space="0" w:color="CCCCCC"/>
              <w:bottom w:val="single" w:sz="4" w:space="0" w:color="CCCCCC"/>
              <w:right w:val="single" w:sz="4" w:space="0" w:color="CCCCCC"/>
            </w:tcBorders>
            <w:shd w:val="clear" w:color="auto" w:fill="1F4E79"/>
            <w:vAlign w:val="center"/>
          </w:tcPr>
          <w:p w14:paraId="1E170D59" w14:textId="77777777" w:rsidR="00F81FB6" w:rsidRDefault="00571C04">
            <w:pPr>
              <w:spacing w:before="60" w:after="60"/>
              <w:jc w:val="center"/>
            </w:pPr>
            <w:r>
              <w:rPr>
                <w:b/>
                <w:bCs/>
                <w:color w:val="FFFFFF"/>
                <w:sz w:val="20"/>
                <w:szCs w:val="20"/>
              </w:rPr>
              <w:t>Action</w:t>
            </w:r>
          </w:p>
        </w:tc>
        <w:tc>
          <w:tcPr>
            <w:tcW w:w="6300" w:type="dxa"/>
            <w:tcBorders>
              <w:top w:val="single" w:sz="4" w:space="0" w:color="CCCCCC"/>
              <w:left w:val="single" w:sz="4" w:space="0" w:color="CCCCCC"/>
              <w:bottom w:val="single" w:sz="4" w:space="0" w:color="CCCCCC"/>
              <w:right w:val="single" w:sz="4" w:space="0" w:color="CCCCCC"/>
            </w:tcBorders>
            <w:shd w:val="clear" w:color="auto" w:fill="1F4E79"/>
            <w:vAlign w:val="center"/>
          </w:tcPr>
          <w:p w14:paraId="7567C1AE" w14:textId="77777777" w:rsidR="00F81FB6" w:rsidRDefault="00571C04">
            <w:pPr>
              <w:spacing w:before="60" w:after="60"/>
              <w:jc w:val="center"/>
            </w:pPr>
            <w:r>
              <w:rPr>
                <w:b/>
                <w:bCs/>
                <w:color w:val="FFFFFF"/>
                <w:sz w:val="20"/>
                <w:szCs w:val="20"/>
              </w:rPr>
              <w:t>Description</w:t>
            </w:r>
          </w:p>
        </w:tc>
      </w:tr>
      <w:tr w:rsidR="00F81FB6" w14:paraId="7E7BB73E" w14:textId="77777777">
        <w:tblPrEx>
          <w:tblCellMar>
            <w:top w:w="0" w:type="dxa"/>
            <w:bottom w:w="0" w:type="dxa"/>
          </w:tblCellMar>
        </w:tblPrEx>
        <w:tc>
          <w:tcPr>
            <w:tcW w:w="860" w:type="dxa"/>
            <w:tcBorders>
              <w:top w:val="single" w:sz="4" w:space="0" w:color="CCCCCC"/>
              <w:left w:val="single" w:sz="4" w:space="0" w:color="CCCCCC"/>
              <w:bottom w:val="single" w:sz="4" w:space="0" w:color="CCCCCC"/>
              <w:right w:val="single" w:sz="4" w:space="0" w:color="CCCCCC"/>
            </w:tcBorders>
            <w:shd w:val="clear" w:color="auto" w:fill="DEEAF1"/>
          </w:tcPr>
          <w:p w14:paraId="0C70201F" w14:textId="77777777" w:rsidR="00F81FB6" w:rsidRDefault="00571C04">
            <w:pPr>
              <w:spacing w:before="60" w:after="60"/>
              <w:jc w:val="center"/>
            </w:pPr>
            <w:r>
              <w:rPr>
                <w:b/>
                <w:bCs/>
                <w:color w:val="2F2F2F"/>
                <w:sz w:val="20"/>
                <w:szCs w:val="20"/>
              </w:rPr>
              <w:t>Step 1</w:t>
            </w:r>
          </w:p>
        </w:tc>
        <w:tc>
          <w:tcPr>
            <w:tcW w:w="2200" w:type="dxa"/>
            <w:tcBorders>
              <w:top w:val="single" w:sz="4" w:space="0" w:color="CCCCCC"/>
              <w:left w:val="single" w:sz="4" w:space="0" w:color="CCCCCC"/>
              <w:bottom w:val="single" w:sz="4" w:space="0" w:color="CCCCCC"/>
              <w:right w:val="single" w:sz="4" w:space="0" w:color="CCCCCC"/>
            </w:tcBorders>
            <w:shd w:val="clear" w:color="auto" w:fill="DEEAF1"/>
          </w:tcPr>
          <w:p w14:paraId="448CEE79" w14:textId="77777777" w:rsidR="00F81FB6" w:rsidRDefault="00571C04">
            <w:pPr>
              <w:spacing w:before="60" w:after="60"/>
            </w:pPr>
            <w:r>
              <w:rPr>
                <w:b/>
                <w:bCs/>
                <w:color w:val="2F2F2F"/>
                <w:sz w:val="20"/>
                <w:szCs w:val="20"/>
              </w:rPr>
              <w:t>Screen for Critical Risk Indicators</w:t>
            </w:r>
          </w:p>
        </w:tc>
        <w:tc>
          <w:tcPr>
            <w:tcW w:w="6300" w:type="dxa"/>
            <w:tcBorders>
              <w:top w:val="single" w:sz="4" w:space="0" w:color="CCCCCC"/>
              <w:left w:val="single" w:sz="4" w:space="0" w:color="CCCCCC"/>
              <w:bottom w:val="single" w:sz="4" w:space="0" w:color="CCCCCC"/>
              <w:right w:val="single" w:sz="4" w:space="0" w:color="CCCCCC"/>
            </w:tcBorders>
            <w:shd w:val="clear" w:color="auto" w:fill="F2F7FC"/>
          </w:tcPr>
          <w:p w14:paraId="6DA56E0C" w14:textId="77777777" w:rsidR="00F81FB6" w:rsidRDefault="00571C04">
            <w:pPr>
              <w:spacing w:before="60" w:after="60"/>
            </w:pPr>
            <w:r>
              <w:rPr>
                <w:color w:val="2F2F2F"/>
                <w:sz w:val="20"/>
                <w:szCs w:val="20"/>
              </w:rPr>
              <w:t>Review vendor RFI responses and supporting documentation against all 7 CRIs in Section A. Mark each as Pass or Fail. Any single Fail = CRITICAL RISK — stop, escalate to VP/Executive, and do not proceed to weighted scorin</w:t>
            </w:r>
            <w:r>
              <w:rPr>
                <w:color w:val="2F2F2F"/>
                <w:sz w:val="20"/>
                <w:szCs w:val="20"/>
              </w:rPr>
              <w:t>g.</w:t>
            </w:r>
          </w:p>
        </w:tc>
      </w:tr>
      <w:tr w:rsidR="00F81FB6" w14:paraId="4E105761" w14:textId="77777777">
        <w:tblPrEx>
          <w:tblCellMar>
            <w:top w:w="0" w:type="dxa"/>
            <w:bottom w:w="0" w:type="dxa"/>
          </w:tblCellMar>
        </w:tblPrEx>
        <w:tc>
          <w:tcPr>
            <w:tcW w:w="860" w:type="dxa"/>
            <w:tcBorders>
              <w:top w:val="single" w:sz="4" w:space="0" w:color="CCCCCC"/>
              <w:left w:val="single" w:sz="4" w:space="0" w:color="CCCCCC"/>
              <w:bottom w:val="single" w:sz="4" w:space="0" w:color="CCCCCC"/>
              <w:right w:val="single" w:sz="4" w:space="0" w:color="CCCCCC"/>
            </w:tcBorders>
            <w:shd w:val="clear" w:color="auto" w:fill="EBF3FA"/>
          </w:tcPr>
          <w:p w14:paraId="6B31D383" w14:textId="77777777" w:rsidR="00F81FB6" w:rsidRDefault="00571C04">
            <w:pPr>
              <w:spacing w:before="60" w:after="60"/>
              <w:jc w:val="center"/>
            </w:pPr>
            <w:r>
              <w:rPr>
                <w:b/>
                <w:bCs/>
                <w:color w:val="2F2F2F"/>
                <w:sz w:val="20"/>
                <w:szCs w:val="20"/>
              </w:rPr>
              <w:t>Step 2</w:t>
            </w:r>
          </w:p>
        </w:tc>
        <w:tc>
          <w:tcPr>
            <w:tcW w:w="2200" w:type="dxa"/>
            <w:tcBorders>
              <w:top w:val="single" w:sz="4" w:space="0" w:color="CCCCCC"/>
              <w:left w:val="single" w:sz="4" w:space="0" w:color="CCCCCC"/>
              <w:bottom w:val="single" w:sz="4" w:space="0" w:color="CCCCCC"/>
              <w:right w:val="single" w:sz="4" w:space="0" w:color="CCCCCC"/>
            </w:tcBorders>
            <w:shd w:val="clear" w:color="auto" w:fill="EBF3FA"/>
          </w:tcPr>
          <w:p w14:paraId="718C2A85" w14:textId="77777777" w:rsidR="00F81FB6" w:rsidRDefault="00571C04">
            <w:pPr>
              <w:spacing w:before="60" w:after="60"/>
            </w:pPr>
            <w:r>
              <w:rPr>
                <w:b/>
                <w:bCs/>
                <w:color w:val="2F2F2F"/>
                <w:sz w:val="20"/>
                <w:szCs w:val="20"/>
              </w:rPr>
              <w:t>Score each category (1–4 scale)</w:t>
            </w:r>
          </w:p>
        </w:tc>
        <w:tc>
          <w:tcPr>
            <w:tcW w:w="6300" w:type="dxa"/>
            <w:tcBorders>
              <w:top w:val="single" w:sz="4" w:space="0" w:color="CCCCCC"/>
              <w:left w:val="single" w:sz="4" w:space="0" w:color="CCCCCC"/>
              <w:bottom w:val="single" w:sz="4" w:space="0" w:color="CCCCCC"/>
              <w:right w:val="single" w:sz="4" w:space="0" w:color="CCCCCC"/>
            </w:tcBorders>
            <w:shd w:val="clear" w:color="auto" w:fill="FFFFFF"/>
          </w:tcPr>
          <w:p w14:paraId="294819BE" w14:textId="77777777" w:rsidR="00F81FB6" w:rsidRDefault="00571C04">
            <w:pPr>
              <w:spacing w:before="60" w:after="60"/>
            </w:pPr>
            <w:r>
              <w:rPr>
                <w:color w:val="2F2F2F"/>
                <w:sz w:val="20"/>
                <w:szCs w:val="20"/>
              </w:rPr>
              <w:t>Using the logistics-specific rubrics in Section C, assign a raw score of 1 (Poor), 2 (Fair), 3 (Good), or 4 (Excellent) for each of the 6 weighted categories. Each score must be supported by specific evidence from the vendor's RFI response.</w:t>
            </w:r>
          </w:p>
        </w:tc>
      </w:tr>
      <w:tr w:rsidR="00F81FB6" w14:paraId="6569EFF1" w14:textId="77777777">
        <w:tblPrEx>
          <w:tblCellMar>
            <w:top w:w="0" w:type="dxa"/>
            <w:bottom w:w="0" w:type="dxa"/>
          </w:tblCellMar>
        </w:tblPrEx>
        <w:tc>
          <w:tcPr>
            <w:tcW w:w="860" w:type="dxa"/>
            <w:tcBorders>
              <w:top w:val="single" w:sz="4" w:space="0" w:color="CCCCCC"/>
              <w:left w:val="single" w:sz="4" w:space="0" w:color="CCCCCC"/>
              <w:bottom w:val="single" w:sz="4" w:space="0" w:color="CCCCCC"/>
              <w:right w:val="single" w:sz="4" w:space="0" w:color="CCCCCC"/>
            </w:tcBorders>
            <w:shd w:val="clear" w:color="auto" w:fill="DEEAF1"/>
          </w:tcPr>
          <w:p w14:paraId="63F4F768" w14:textId="77777777" w:rsidR="00F81FB6" w:rsidRDefault="00571C04">
            <w:pPr>
              <w:spacing w:before="60" w:after="60"/>
              <w:jc w:val="center"/>
            </w:pPr>
            <w:r>
              <w:rPr>
                <w:b/>
                <w:bCs/>
                <w:color w:val="2F2F2F"/>
                <w:sz w:val="20"/>
                <w:szCs w:val="20"/>
              </w:rPr>
              <w:t>Step 3</w:t>
            </w:r>
          </w:p>
        </w:tc>
        <w:tc>
          <w:tcPr>
            <w:tcW w:w="2200" w:type="dxa"/>
            <w:tcBorders>
              <w:top w:val="single" w:sz="4" w:space="0" w:color="CCCCCC"/>
              <w:left w:val="single" w:sz="4" w:space="0" w:color="CCCCCC"/>
              <w:bottom w:val="single" w:sz="4" w:space="0" w:color="CCCCCC"/>
              <w:right w:val="single" w:sz="4" w:space="0" w:color="CCCCCC"/>
            </w:tcBorders>
            <w:shd w:val="clear" w:color="auto" w:fill="DEEAF1"/>
          </w:tcPr>
          <w:p w14:paraId="47C44273" w14:textId="77777777" w:rsidR="00F81FB6" w:rsidRDefault="00571C04">
            <w:pPr>
              <w:spacing w:before="60" w:after="60"/>
            </w:pPr>
            <w:r>
              <w:rPr>
                <w:b/>
                <w:bCs/>
                <w:color w:val="2F2F2F"/>
                <w:sz w:val="20"/>
                <w:szCs w:val="20"/>
              </w:rPr>
              <w:t>Apply category weights</w:t>
            </w:r>
          </w:p>
        </w:tc>
        <w:tc>
          <w:tcPr>
            <w:tcW w:w="6300" w:type="dxa"/>
            <w:tcBorders>
              <w:top w:val="single" w:sz="4" w:space="0" w:color="CCCCCC"/>
              <w:left w:val="single" w:sz="4" w:space="0" w:color="CCCCCC"/>
              <w:bottom w:val="single" w:sz="4" w:space="0" w:color="CCCCCC"/>
              <w:right w:val="single" w:sz="4" w:space="0" w:color="CCCCCC"/>
            </w:tcBorders>
            <w:shd w:val="clear" w:color="auto" w:fill="F2F7FC"/>
          </w:tcPr>
          <w:p w14:paraId="4F35FE4F" w14:textId="77777777" w:rsidR="00F81FB6" w:rsidRDefault="00571C04">
            <w:pPr>
              <w:spacing w:before="60" w:after="60"/>
            </w:pPr>
            <w:r>
              <w:rPr>
                <w:color w:val="2F2F2F"/>
                <w:sz w:val="20"/>
                <w:szCs w:val="20"/>
              </w:rPr>
              <w:t>For each category: Weighted Score = Raw Score × Category Weight × 100. Example: Score of 3 for Financial Stability = 3 × 0.25 × 100 = 75 points.</w:t>
            </w:r>
          </w:p>
        </w:tc>
      </w:tr>
      <w:tr w:rsidR="00F81FB6" w14:paraId="4CFE12E4" w14:textId="77777777">
        <w:tblPrEx>
          <w:tblCellMar>
            <w:top w:w="0" w:type="dxa"/>
            <w:bottom w:w="0" w:type="dxa"/>
          </w:tblCellMar>
        </w:tblPrEx>
        <w:tc>
          <w:tcPr>
            <w:tcW w:w="860" w:type="dxa"/>
            <w:tcBorders>
              <w:top w:val="single" w:sz="4" w:space="0" w:color="CCCCCC"/>
              <w:left w:val="single" w:sz="4" w:space="0" w:color="CCCCCC"/>
              <w:bottom w:val="single" w:sz="4" w:space="0" w:color="CCCCCC"/>
              <w:right w:val="single" w:sz="4" w:space="0" w:color="CCCCCC"/>
            </w:tcBorders>
            <w:shd w:val="clear" w:color="auto" w:fill="EBF3FA"/>
          </w:tcPr>
          <w:p w14:paraId="2C26E930" w14:textId="77777777" w:rsidR="00F81FB6" w:rsidRDefault="00571C04">
            <w:pPr>
              <w:spacing w:before="60" w:after="60"/>
              <w:jc w:val="center"/>
            </w:pPr>
            <w:r>
              <w:rPr>
                <w:b/>
                <w:bCs/>
                <w:color w:val="2F2F2F"/>
                <w:sz w:val="20"/>
                <w:szCs w:val="20"/>
              </w:rPr>
              <w:t>Step 4</w:t>
            </w:r>
          </w:p>
        </w:tc>
        <w:tc>
          <w:tcPr>
            <w:tcW w:w="2200" w:type="dxa"/>
            <w:tcBorders>
              <w:top w:val="single" w:sz="4" w:space="0" w:color="CCCCCC"/>
              <w:left w:val="single" w:sz="4" w:space="0" w:color="CCCCCC"/>
              <w:bottom w:val="single" w:sz="4" w:space="0" w:color="CCCCCC"/>
              <w:right w:val="single" w:sz="4" w:space="0" w:color="CCCCCC"/>
            </w:tcBorders>
            <w:shd w:val="clear" w:color="auto" w:fill="EBF3FA"/>
          </w:tcPr>
          <w:p w14:paraId="6BCC9AD8" w14:textId="77777777" w:rsidR="00F81FB6" w:rsidRDefault="00571C04">
            <w:pPr>
              <w:spacing w:before="60" w:after="60"/>
            </w:pPr>
            <w:r>
              <w:rPr>
                <w:b/>
                <w:bCs/>
                <w:color w:val="2F2F2F"/>
                <w:sz w:val="20"/>
                <w:szCs w:val="20"/>
              </w:rPr>
              <w:t>Sum weighted scores</w:t>
            </w:r>
          </w:p>
        </w:tc>
        <w:tc>
          <w:tcPr>
            <w:tcW w:w="6300" w:type="dxa"/>
            <w:tcBorders>
              <w:top w:val="single" w:sz="4" w:space="0" w:color="CCCCCC"/>
              <w:left w:val="single" w:sz="4" w:space="0" w:color="CCCCCC"/>
              <w:bottom w:val="single" w:sz="4" w:space="0" w:color="CCCCCC"/>
              <w:right w:val="single" w:sz="4" w:space="0" w:color="CCCCCC"/>
            </w:tcBorders>
            <w:shd w:val="clear" w:color="auto" w:fill="FFFFFF"/>
          </w:tcPr>
          <w:p w14:paraId="235D4A74" w14:textId="77777777" w:rsidR="00F81FB6" w:rsidRDefault="00571C04">
            <w:pPr>
              <w:spacing w:before="60" w:after="60"/>
            </w:pPr>
            <w:r>
              <w:rPr>
                <w:color w:val="2F2F2F"/>
                <w:sz w:val="20"/>
                <w:szCs w:val="20"/>
              </w:rPr>
              <w:t>Add all 6 weighted scores to produce the Composite Score (maximum 400 points).</w:t>
            </w:r>
          </w:p>
        </w:tc>
      </w:tr>
      <w:tr w:rsidR="00F81FB6" w14:paraId="29BE4302" w14:textId="77777777">
        <w:tblPrEx>
          <w:tblCellMar>
            <w:top w:w="0" w:type="dxa"/>
            <w:bottom w:w="0" w:type="dxa"/>
          </w:tblCellMar>
        </w:tblPrEx>
        <w:tc>
          <w:tcPr>
            <w:tcW w:w="860" w:type="dxa"/>
            <w:tcBorders>
              <w:top w:val="single" w:sz="4" w:space="0" w:color="CCCCCC"/>
              <w:left w:val="single" w:sz="4" w:space="0" w:color="CCCCCC"/>
              <w:bottom w:val="single" w:sz="4" w:space="0" w:color="CCCCCC"/>
              <w:right w:val="single" w:sz="4" w:space="0" w:color="CCCCCC"/>
            </w:tcBorders>
            <w:shd w:val="clear" w:color="auto" w:fill="DEEAF1"/>
          </w:tcPr>
          <w:p w14:paraId="4A278AFF" w14:textId="77777777" w:rsidR="00F81FB6" w:rsidRDefault="00571C04">
            <w:pPr>
              <w:spacing w:before="60" w:after="60"/>
              <w:jc w:val="center"/>
            </w:pPr>
            <w:r>
              <w:rPr>
                <w:b/>
                <w:bCs/>
                <w:color w:val="2F2F2F"/>
                <w:sz w:val="20"/>
                <w:szCs w:val="20"/>
              </w:rPr>
              <w:t>Step 5</w:t>
            </w:r>
          </w:p>
        </w:tc>
        <w:tc>
          <w:tcPr>
            <w:tcW w:w="2200" w:type="dxa"/>
            <w:tcBorders>
              <w:top w:val="single" w:sz="4" w:space="0" w:color="CCCCCC"/>
              <w:left w:val="single" w:sz="4" w:space="0" w:color="CCCCCC"/>
              <w:bottom w:val="single" w:sz="4" w:space="0" w:color="CCCCCC"/>
              <w:right w:val="single" w:sz="4" w:space="0" w:color="CCCCCC"/>
            </w:tcBorders>
            <w:shd w:val="clear" w:color="auto" w:fill="DEEAF1"/>
          </w:tcPr>
          <w:p w14:paraId="6A0C2E21" w14:textId="77777777" w:rsidR="00F81FB6" w:rsidRDefault="00571C04">
            <w:pPr>
              <w:spacing w:before="60" w:after="60"/>
            </w:pPr>
            <w:r>
              <w:rPr>
                <w:b/>
                <w:bCs/>
                <w:color w:val="2F2F2F"/>
                <w:sz w:val="20"/>
                <w:szCs w:val="20"/>
              </w:rPr>
              <w:t>Map to risk tier</w:t>
            </w:r>
          </w:p>
        </w:tc>
        <w:tc>
          <w:tcPr>
            <w:tcW w:w="6300" w:type="dxa"/>
            <w:tcBorders>
              <w:top w:val="single" w:sz="4" w:space="0" w:color="CCCCCC"/>
              <w:left w:val="single" w:sz="4" w:space="0" w:color="CCCCCC"/>
              <w:bottom w:val="single" w:sz="4" w:space="0" w:color="CCCCCC"/>
              <w:right w:val="single" w:sz="4" w:space="0" w:color="CCCCCC"/>
            </w:tcBorders>
            <w:shd w:val="clear" w:color="auto" w:fill="F2F7FC"/>
          </w:tcPr>
          <w:p w14:paraId="70528B7E" w14:textId="77777777" w:rsidR="00F81FB6" w:rsidRDefault="00571C04">
            <w:pPr>
              <w:spacing w:before="60" w:after="60"/>
            </w:pPr>
            <w:r>
              <w:rPr>
                <w:color w:val="2F2F2F"/>
                <w:sz w:val="20"/>
                <w:szCs w:val="20"/>
              </w:rPr>
              <w:t>Using Section D thresholds, determine the risk level (Low / Medium / High / Critical) and follow the decision framework in Section F for approval authority and required contract enhancements.</w:t>
            </w:r>
          </w:p>
        </w:tc>
      </w:tr>
    </w:tbl>
    <w:p w14:paraId="031D5C4D" w14:textId="77777777" w:rsidR="00F81FB6" w:rsidRDefault="00F81FB6">
      <w:pPr>
        <w:spacing w:after="140"/>
      </w:pPr>
    </w:p>
    <w:p w14:paraId="186AAEC5" w14:textId="77777777" w:rsidR="00F81FB6" w:rsidRDefault="00571C04">
      <w:pPr>
        <w:pStyle w:val="SubHeader"/>
      </w:pPr>
      <w:r>
        <w:t>E.2  Worked Example — FastFreight Logistics LLC</w:t>
      </w:r>
    </w:p>
    <w:p w14:paraId="4FBF8945" w14:textId="77777777" w:rsidR="00F81FB6" w:rsidRDefault="00571C04">
      <w:pPr>
        <w:pStyle w:val="BodyText"/>
      </w:pPr>
      <w:r>
        <w:t xml:space="preserve">The following example demonstrates the scoring methodology applied to a hypothetical vendor. FastFreight Logistics LLC is a mid-size FTL/LTL carrier with warehousing capabilities operating across the Western </w:t>
      </w:r>
      <w:r>
        <w:t>United States.</w:t>
      </w:r>
    </w:p>
    <w:p w14:paraId="0201F469" w14:textId="77777777" w:rsidR="00F81FB6" w:rsidRDefault="00F81FB6">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800"/>
        <w:gridCol w:w="700"/>
        <w:gridCol w:w="700"/>
        <w:gridCol w:w="1100"/>
        <w:gridCol w:w="3460"/>
      </w:tblGrid>
      <w:tr w:rsidR="00F81FB6" w14:paraId="50A79520" w14:textId="77777777">
        <w:tblPrEx>
          <w:tblCellMar>
            <w:top w:w="0" w:type="dxa"/>
            <w:bottom w:w="0" w:type="dxa"/>
          </w:tblCellMar>
        </w:tblPrEx>
        <w:trPr>
          <w:tblHeader/>
        </w:trPr>
        <w:tc>
          <w:tcPr>
            <w:tcW w:w="2600" w:type="dxa"/>
            <w:tcBorders>
              <w:top w:val="single" w:sz="4" w:space="0" w:color="CCCCCC"/>
              <w:left w:val="single" w:sz="4" w:space="0" w:color="CCCCCC"/>
              <w:bottom w:val="single" w:sz="4" w:space="0" w:color="CCCCCC"/>
              <w:right w:val="single" w:sz="4" w:space="0" w:color="CCCCCC"/>
            </w:tcBorders>
            <w:shd w:val="clear" w:color="auto" w:fill="1F4E79"/>
            <w:vAlign w:val="center"/>
          </w:tcPr>
          <w:p w14:paraId="200A198B" w14:textId="77777777" w:rsidR="00F81FB6" w:rsidRDefault="00571C04">
            <w:pPr>
              <w:spacing w:before="60" w:after="60"/>
              <w:jc w:val="center"/>
            </w:pPr>
            <w:r>
              <w:rPr>
                <w:b/>
                <w:bCs/>
                <w:color w:val="FFFFFF"/>
                <w:sz w:val="20"/>
                <w:szCs w:val="20"/>
              </w:rPr>
              <w:t>Risk Category</w:t>
            </w:r>
          </w:p>
        </w:tc>
        <w:tc>
          <w:tcPr>
            <w:tcW w:w="800" w:type="dxa"/>
            <w:tcBorders>
              <w:top w:val="single" w:sz="4" w:space="0" w:color="CCCCCC"/>
              <w:left w:val="single" w:sz="4" w:space="0" w:color="CCCCCC"/>
              <w:bottom w:val="single" w:sz="4" w:space="0" w:color="CCCCCC"/>
              <w:right w:val="single" w:sz="4" w:space="0" w:color="CCCCCC"/>
            </w:tcBorders>
            <w:shd w:val="clear" w:color="auto" w:fill="1F4E79"/>
            <w:vAlign w:val="center"/>
          </w:tcPr>
          <w:p w14:paraId="3E82A238" w14:textId="77777777" w:rsidR="00F81FB6" w:rsidRDefault="00571C04">
            <w:pPr>
              <w:spacing w:before="60" w:after="60"/>
              <w:jc w:val="center"/>
            </w:pPr>
            <w:r>
              <w:rPr>
                <w:b/>
                <w:bCs/>
                <w:color w:val="FFFFFF"/>
                <w:sz w:val="20"/>
                <w:szCs w:val="20"/>
              </w:rPr>
              <w:t>Raw Score</w:t>
            </w:r>
          </w:p>
        </w:tc>
        <w:tc>
          <w:tcPr>
            <w:tcW w:w="700" w:type="dxa"/>
            <w:tcBorders>
              <w:top w:val="single" w:sz="4" w:space="0" w:color="CCCCCC"/>
              <w:left w:val="single" w:sz="4" w:space="0" w:color="CCCCCC"/>
              <w:bottom w:val="single" w:sz="4" w:space="0" w:color="CCCCCC"/>
              <w:right w:val="single" w:sz="4" w:space="0" w:color="CCCCCC"/>
            </w:tcBorders>
            <w:shd w:val="clear" w:color="auto" w:fill="1F4E79"/>
            <w:vAlign w:val="center"/>
          </w:tcPr>
          <w:p w14:paraId="34961C14" w14:textId="77777777" w:rsidR="00F81FB6" w:rsidRDefault="00571C04">
            <w:pPr>
              <w:spacing w:before="60" w:after="60"/>
              <w:jc w:val="center"/>
            </w:pPr>
            <w:r>
              <w:rPr>
                <w:b/>
                <w:bCs/>
                <w:color w:val="FFFFFF"/>
                <w:sz w:val="20"/>
                <w:szCs w:val="20"/>
              </w:rPr>
              <w:t>Weight</w:t>
            </w:r>
          </w:p>
        </w:tc>
        <w:tc>
          <w:tcPr>
            <w:tcW w:w="700" w:type="dxa"/>
            <w:tcBorders>
              <w:top w:val="single" w:sz="4" w:space="0" w:color="CCCCCC"/>
              <w:left w:val="single" w:sz="4" w:space="0" w:color="CCCCCC"/>
              <w:bottom w:val="single" w:sz="4" w:space="0" w:color="CCCCCC"/>
              <w:right w:val="single" w:sz="4" w:space="0" w:color="CCCCCC"/>
            </w:tcBorders>
            <w:shd w:val="clear" w:color="auto" w:fill="1F4E79"/>
            <w:vAlign w:val="center"/>
          </w:tcPr>
          <w:p w14:paraId="7DC00E05" w14:textId="77777777" w:rsidR="00F81FB6" w:rsidRDefault="00571C04">
            <w:pPr>
              <w:spacing w:before="60" w:after="60"/>
              <w:jc w:val="center"/>
            </w:pPr>
            <w:r>
              <w:rPr>
                <w:b/>
                <w:bCs/>
                <w:color w:val="FFFFFF"/>
                <w:sz w:val="20"/>
                <w:szCs w:val="20"/>
              </w:rPr>
              <w:t>Max Pts</w:t>
            </w:r>
          </w:p>
        </w:tc>
        <w:tc>
          <w:tcPr>
            <w:tcW w:w="1100" w:type="dxa"/>
            <w:tcBorders>
              <w:top w:val="single" w:sz="4" w:space="0" w:color="CCCCCC"/>
              <w:left w:val="single" w:sz="4" w:space="0" w:color="CCCCCC"/>
              <w:bottom w:val="single" w:sz="4" w:space="0" w:color="CCCCCC"/>
              <w:right w:val="single" w:sz="4" w:space="0" w:color="CCCCCC"/>
            </w:tcBorders>
            <w:shd w:val="clear" w:color="auto" w:fill="1F4E79"/>
            <w:vAlign w:val="center"/>
          </w:tcPr>
          <w:p w14:paraId="4BE6BF17" w14:textId="77777777" w:rsidR="00F81FB6" w:rsidRDefault="00571C04">
            <w:pPr>
              <w:spacing w:before="60" w:after="60"/>
              <w:jc w:val="center"/>
            </w:pPr>
            <w:r>
              <w:rPr>
                <w:b/>
                <w:bCs/>
                <w:color w:val="FFFFFF"/>
                <w:sz w:val="20"/>
                <w:szCs w:val="20"/>
              </w:rPr>
              <w:t>Weighted Score</w:t>
            </w:r>
          </w:p>
        </w:tc>
        <w:tc>
          <w:tcPr>
            <w:tcW w:w="3460" w:type="dxa"/>
            <w:tcBorders>
              <w:top w:val="single" w:sz="4" w:space="0" w:color="CCCCCC"/>
              <w:left w:val="single" w:sz="4" w:space="0" w:color="CCCCCC"/>
              <w:bottom w:val="single" w:sz="4" w:space="0" w:color="CCCCCC"/>
              <w:right w:val="single" w:sz="4" w:space="0" w:color="CCCCCC"/>
            </w:tcBorders>
            <w:shd w:val="clear" w:color="auto" w:fill="1F4E79"/>
            <w:vAlign w:val="center"/>
          </w:tcPr>
          <w:p w14:paraId="6E3DB722" w14:textId="77777777" w:rsidR="00F81FB6" w:rsidRDefault="00571C04">
            <w:pPr>
              <w:spacing w:before="60" w:after="60"/>
              <w:jc w:val="center"/>
            </w:pPr>
            <w:r>
              <w:rPr>
                <w:b/>
                <w:bCs/>
                <w:color w:val="FFFFFF"/>
                <w:sz w:val="20"/>
                <w:szCs w:val="20"/>
              </w:rPr>
              <w:t>Evidence Summary</w:t>
            </w:r>
          </w:p>
        </w:tc>
      </w:tr>
      <w:tr w:rsidR="00F81FB6" w14:paraId="5B84294F" w14:textId="77777777">
        <w:tblPrEx>
          <w:tblCellMar>
            <w:top w:w="0" w:type="dxa"/>
            <w:bottom w:w="0" w:type="dxa"/>
          </w:tblCellMar>
        </w:tblPrEx>
        <w:tc>
          <w:tcPr>
            <w:tcW w:w="2600" w:type="dxa"/>
            <w:tcBorders>
              <w:top w:val="single" w:sz="4" w:space="0" w:color="CCCCCC"/>
              <w:left w:val="single" w:sz="4" w:space="0" w:color="CCCCCC"/>
              <w:bottom w:val="single" w:sz="4" w:space="0" w:color="CCCCCC"/>
              <w:right w:val="single" w:sz="4" w:space="0" w:color="CCCCCC"/>
            </w:tcBorders>
            <w:shd w:val="clear" w:color="auto" w:fill="F2F7FC"/>
          </w:tcPr>
          <w:p w14:paraId="4810DD8B" w14:textId="77777777" w:rsidR="00F81FB6" w:rsidRDefault="00571C04">
            <w:pPr>
              <w:spacing w:before="60" w:after="60"/>
            </w:pPr>
            <w:r>
              <w:rPr>
                <w:b/>
                <w:bCs/>
                <w:color w:val="2F2F2F"/>
                <w:sz w:val="20"/>
                <w:szCs w:val="20"/>
              </w:rPr>
              <w:t>Financial Stability</w:t>
            </w:r>
          </w:p>
        </w:tc>
        <w:tc>
          <w:tcPr>
            <w:tcW w:w="800" w:type="dxa"/>
            <w:tcBorders>
              <w:top w:val="single" w:sz="4" w:space="0" w:color="CCCCCC"/>
              <w:left w:val="single" w:sz="4" w:space="0" w:color="CCCCCC"/>
              <w:bottom w:val="single" w:sz="4" w:space="0" w:color="CCCCCC"/>
              <w:right w:val="single" w:sz="4" w:space="0" w:color="CCCCCC"/>
            </w:tcBorders>
            <w:shd w:val="clear" w:color="auto" w:fill="F2F7FC"/>
          </w:tcPr>
          <w:p w14:paraId="4A0FED12" w14:textId="77777777" w:rsidR="00F81FB6" w:rsidRDefault="00571C04">
            <w:pPr>
              <w:spacing w:before="60" w:after="60"/>
              <w:jc w:val="center"/>
            </w:pPr>
            <w:r>
              <w:rPr>
                <w:b/>
                <w:bCs/>
                <w:color w:val="1F4E79"/>
                <w:sz w:val="20"/>
                <w:szCs w:val="20"/>
              </w:rPr>
              <w:t>3</w:t>
            </w:r>
          </w:p>
        </w:tc>
        <w:tc>
          <w:tcPr>
            <w:tcW w:w="700" w:type="dxa"/>
            <w:tcBorders>
              <w:top w:val="single" w:sz="4" w:space="0" w:color="CCCCCC"/>
              <w:left w:val="single" w:sz="4" w:space="0" w:color="CCCCCC"/>
              <w:bottom w:val="single" w:sz="4" w:space="0" w:color="CCCCCC"/>
              <w:right w:val="single" w:sz="4" w:space="0" w:color="CCCCCC"/>
            </w:tcBorders>
            <w:shd w:val="clear" w:color="auto" w:fill="F2F7FC"/>
          </w:tcPr>
          <w:p w14:paraId="6006A1A1" w14:textId="77777777" w:rsidR="00F81FB6" w:rsidRDefault="00571C04">
            <w:pPr>
              <w:spacing w:before="60" w:after="60"/>
              <w:jc w:val="center"/>
            </w:pPr>
            <w:r>
              <w:rPr>
                <w:color w:val="2F2F2F"/>
                <w:sz w:val="20"/>
                <w:szCs w:val="20"/>
              </w:rPr>
              <w:t>30%</w:t>
            </w:r>
          </w:p>
        </w:tc>
        <w:tc>
          <w:tcPr>
            <w:tcW w:w="700" w:type="dxa"/>
            <w:tcBorders>
              <w:top w:val="single" w:sz="4" w:space="0" w:color="CCCCCC"/>
              <w:left w:val="single" w:sz="4" w:space="0" w:color="CCCCCC"/>
              <w:bottom w:val="single" w:sz="4" w:space="0" w:color="CCCCCC"/>
              <w:right w:val="single" w:sz="4" w:space="0" w:color="CCCCCC"/>
            </w:tcBorders>
            <w:shd w:val="clear" w:color="auto" w:fill="F2F7FC"/>
          </w:tcPr>
          <w:p w14:paraId="79739260" w14:textId="77777777" w:rsidR="00F81FB6" w:rsidRDefault="00571C04">
            <w:pPr>
              <w:spacing w:before="60" w:after="60"/>
              <w:jc w:val="center"/>
            </w:pPr>
            <w:r>
              <w:rPr>
                <w:color w:val="2F2F2F"/>
                <w:sz w:val="20"/>
                <w:szCs w:val="20"/>
              </w:rPr>
              <w:t>100</w:t>
            </w:r>
          </w:p>
        </w:tc>
        <w:tc>
          <w:tcPr>
            <w:tcW w:w="1100" w:type="dxa"/>
            <w:tcBorders>
              <w:top w:val="single" w:sz="4" w:space="0" w:color="CCCCCC"/>
              <w:left w:val="single" w:sz="4" w:space="0" w:color="CCCCCC"/>
              <w:bottom w:val="single" w:sz="4" w:space="0" w:color="CCCCCC"/>
              <w:right w:val="single" w:sz="4" w:space="0" w:color="CCCCCC"/>
            </w:tcBorders>
            <w:shd w:val="clear" w:color="auto" w:fill="F2F7FC"/>
          </w:tcPr>
          <w:p w14:paraId="61C35480" w14:textId="77777777" w:rsidR="00F81FB6" w:rsidRDefault="00571C04">
            <w:pPr>
              <w:spacing w:before="60" w:after="60"/>
              <w:jc w:val="center"/>
            </w:pPr>
            <w:r>
              <w:rPr>
                <w:b/>
                <w:bCs/>
                <w:color w:val="1A7432"/>
                <w:sz w:val="20"/>
                <w:szCs w:val="20"/>
              </w:rPr>
              <w:t>75</w:t>
            </w:r>
          </w:p>
        </w:tc>
        <w:tc>
          <w:tcPr>
            <w:tcW w:w="3460" w:type="dxa"/>
            <w:tcBorders>
              <w:top w:val="single" w:sz="4" w:space="0" w:color="CCCCCC"/>
              <w:left w:val="single" w:sz="4" w:space="0" w:color="CCCCCC"/>
              <w:bottom w:val="single" w:sz="4" w:space="0" w:color="CCCCCC"/>
              <w:right w:val="single" w:sz="4" w:space="0" w:color="CCCCCC"/>
            </w:tcBorders>
            <w:shd w:val="clear" w:color="auto" w:fill="F2F7FC"/>
          </w:tcPr>
          <w:p w14:paraId="1D8D946F" w14:textId="77777777" w:rsidR="00F81FB6" w:rsidRDefault="00571C04">
            <w:pPr>
              <w:spacing w:before="60" w:after="60"/>
            </w:pPr>
            <w:r>
              <w:rPr>
                <w:color w:val="2F2F2F"/>
                <w:sz w:val="20"/>
                <w:szCs w:val="20"/>
              </w:rPr>
              <w:t>D/E ratio 0.7; positive cash flow all 3 years; adequate insurance; some fuel hedging via surcharge programs; fleet 48% owned</w:t>
            </w:r>
          </w:p>
        </w:tc>
      </w:tr>
      <w:tr w:rsidR="00F81FB6" w14:paraId="0CE9614F" w14:textId="77777777">
        <w:tblPrEx>
          <w:tblCellMar>
            <w:top w:w="0" w:type="dxa"/>
            <w:bottom w:w="0" w:type="dxa"/>
          </w:tblCellMar>
        </w:tblPrEx>
        <w:tc>
          <w:tcPr>
            <w:tcW w:w="2600" w:type="dxa"/>
            <w:tcBorders>
              <w:top w:val="single" w:sz="4" w:space="0" w:color="CCCCCC"/>
              <w:left w:val="single" w:sz="4" w:space="0" w:color="CCCCCC"/>
              <w:bottom w:val="single" w:sz="4" w:space="0" w:color="CCCCCC"/>
              <w:right w:val="single" w:sz="4" w:space="0" w:color="CCCCCC"/>
            </w:tcBorders>
            <w:shd w:val="clear" w:color="auto" w:fill="FFFFFF"/>
          </w:tcPr>
          <w:p w14:paraId="7831A45F" w14:textId="77777777" w:rsidR="00F81FB6" w:rsidRDefault="00571C04">
            <w:pPr>
              <w:spacing w:before="60" w:after="60"/>
            </w:pPr>
            <w:r>
              <w:rPr>
                <w:b/>
                <w:bCs/>
                <w:color w:val="2F2F2F"/>
                <w:sz w:val="20"/>
                <w:szCs w:val="20"/>
              </w:rPr>
              <w:t>Safety Performance</w:t>
            </w:r>
          </w:p>
        </w:tc>
        <w:tc>
          <w:tcPr>
            <w:tcW w:w="800" w:type="dxa"/>
            <w:tcBorders>
              <w:top w:val="single" w:sz="4" w:space="0" w:color="CCCCCC"/>
              <w:left w:val="single" w:sz="4" w:space="0" w:color="CCCCCC"/>
              <w:bottom w:val="single" w:sz="4" w:space="0" w:color="CCCCCC"/>
              <w:right w:val="single" w:sz="4" w:space="0" w:color="CCCCCC"/>
            </w:tcBorders>
            <w:shd w:val="clear" w:color="auto" w:fill="FFFFFF"/>
          </w:tcPr>
          <w:p w14:paraId="237BC733" w14:textId="77777777" w:rsidR="00F81FB6" w:rsidRDefault="00571C04">
            <w:pPr>
              <w:spacing w:before="60" w:after="60"/>
              <w:jc w:val="center"/>
            </w:pPr>
            <w:r>
              <w:rPr>
                <w:b/>
                <w:bCs/>
                <w:color w:val="1F4E79"/>
                <w:sz w:val="20"/>
                <w:szCs w:val="20"/>
              </w:rPr>
              <w:t>4</w:t>
            </w:r>
          </w:p>
        </w:tc>
        <w:tc>
          <w:tcPr>
            <w:tcW w:w="700" w:type="dxa"/>
            <w:tcBorders>
              <w:top w:val="single" w:sz="4" w:space="0" w:color="CCCCCC"/>
              <w:left w:val="single" w:sz="4" w:space="0" w:color="CCCCCC"/>
              <w:bottom w:val="single" w:sz="4" w:space="0" w:color="CCCCCC"/>
              <w:right w:val="single" w:sz="4" w:space="0" w:color="CCCCCC"/>
            </w:tcBorders>
            <w:shd w:val="clear" w:color="auto" w:fill="FFFFFF"/>
          </w:tcPr>
          <w:p w14:paraId="5E95BE93" w14:textId="77777777" w:rsidR="00F81FB6" w:rsidRDefault="00571C04">
            <w:pPr>
              <w:spacing w:before="60" w:after="60"/>
              <w:jc w:val="center"/>
            </w:pPr>
            <w:r>
              <w:rPr>
                <w:color w:val="2F2F2F"/>
                <w:sz w:val="20"/>
                <w:szCs w:val="20"/>
              </w:rPr>
              <w:t>20%</w:t>
            </w:r>
          </w:p>
        </w:tc>
        <w:tc>
          <w:tcPr>
            <w:tcW w:w="700" w:type="dxa"/>
            <w:tcBorders>
              <w:top w:val="single" w:sz="4" w:space="0" w:color="CCCCCC"/>
              <w:left w:val="single" w:sz="4" w:space="0" w:color="CCCCCC"/>
              <w:bottom w:val="single" w:sz="4" w:space="0" w:color="CCCCCC"/>
              <w:right w:val="single" w:sz="4" w:space="0" w:color="CCCCCC"/>
            </w:tcBorders>
            <w:shd w:val="clear" w:color="auto" w:fill="FFFFFF"/>
          </w:tcPr>
          <w:p w14:paraId="31BCFF72" w14:textId="77777777" w:rsidR="00F81FB6" w:rsidRDefault="00571C04">
            <w:pPr>
              <w:spacing w:before="60" w:after="60"/>
              <w:jc w:val="center"/>
            </w:pPr>
            <w:r>
              <w:rPr>
                <w:color w:val="2F2F2F"/>
                <w:sz w:val="20"/>
                <w:szCs w:val="20"/>
              </w:rPr>
              <w:t>100</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cPr>
          <w:p w14:paraId="3AA07D6C" w14:textId="77777777" w:rsidR="00F81FB6" w:rsidRDefault="00571C04">
            <w:pPr>
              <w:spacing w:before="60" w:after="60"/>
              <w:jc w:val="center"/>
            </w:pPr>
            <w:r>
              <w:rPr>
                <w:b/>
                <w:bCs/>
                <w:color w:val="1A7432"/>
                <w:sz w:val="20"/>
                <w:szCs w:val="20"/>
              </w:rPr>
              <w:t>80</w:t>
            </w:r>
          </w:p>
        </w:tc>
        <w:tc>
          <w:tcPr>
            <w:tcW w:w="3460" w:type="dxa"/>
            <w:tcBorders>
              <w:top w:val="single" w:sz="4" w:space="0" w:color="CCCCCC"/>
              <w:left w:val="single" w:sz="4" w:space="0" w:color="CCCCCC"/>
              <w:bottom w:val="single" w:sz="4" w:space="0" w:color="CCCCCC"/>
              <w:right w:val="single" w:sz="4" w:space="0" w:color="CCCCCC"/>
            </w:tcBorders>
            <w:shd w:val="clear" w:color="auto" w:fill="FFFFFF"/>
          </w:tcPr>
          <w:p w14:paraId="39F87D3D" w14:textId="77777777" w:rsidR="00F81FB6" w:rsidRDefault="00571C04">
            <w:pPr>
              <w:spacing w:before="60" w:after="60"/>
            </w:pPr>
            <w:r>
              <w:rPr>
                <w:color w:val="2F2F2F"/>
                <w:sz w:val="20"/>
                <w:szCs w:val="20"/>
              </w:rPr>
              <w:t>TRIR 0.8; EMR 0.82; zero DOT-reportable accidents in 3 years; all 7 FMCSA BASICs below alert thresholds; Satisfactory DOT rating</w:t>
            </w:r>
          </w:p>
        </w:tc>
      </w:tr>
      <w:tr w:rsidR="00F81FB6" w14:paraId="2DDB017E" w14:textId="77777777">
        <w:tblPrEx>
          <w:tblCellMar>
            <w:top w:w="0" w:type="dxa"/>
            <w:bottom w:w="0" w:type="dxa"/>
          </w:tblCellMar>
        </w:tblPrEx>
        <w:tc>
          <w:tcPr>
            <w:tcW w:w="2600" w:type="dxa"/>
            <w:tcBorders>
              <w:top w:val="single" w:sz="4" w:space="0" w:color="CCCCCC"/>
              <w:left w:val="single" w:sz="4" w:space="0" w:color="CCCCCC"/>
              <w:bottom w:val="single" w:sz="4" w:space="0" w:color="CCCCCC"/>
              <w:right w:val="single" w:sz="4" w:space="0" w:color="CCCCCC"/>
            </w:tcBorders>
            <w:shd w:val="clear" w:color="auto" w:fill="F2F7FC"/>
          </w:tcPr>
          <w:p w14:paraId="7046C67F" w14:textId="77777777" w:rsidR="00F81FB6" w:rsidRDefault="00571C04">
            <w:pPr>
              <w:spacing w:before="60" w:after="60"/>
            </w:pPr>
            <w:r>
              <w:rPr>
                <w:b/>
                <w:bCs/>
                <w:color w:val="2F2F2F"/>
                <w:sz w:val="20"/>
                <w:szCs w:val="20"/>
              </w:rPr>
              <w:t>Quality / Performance</w:t>
            </w:r>
          </w:p>
        </w:tc>
        <w:tc>
          <w:tcPr>
            <w:tcW w:w="800" w:type="dxa"/>
            <w:tcBorders>
              <w:top w:val="single" w:sz="4" w:space="0" w:color="CCCCCC"/>
              <w:left w:val="single" w:sz="4" w:space="0" w:color="CCCCCC"/>
              <w:bottom w:val="single" w:sz="4" w:space="0" w:color="CCCCCC"/>
              <w:right w:val="single" w:sz="4" w:space="0" w:color="CCCCCC"/>
            </w:tcBorders>
            <w:shd w:val="clear" w:color="auto" w:fill="F2F7FC"/>
          </w:tcPr>
          <w:p w14:paraId="6639FC2E" w14:textId="77777777" w:rsidR="00F81FB6" w:rsidRDefault="00571C04">
            <w:pPr>
              <w:spacing w:before="60" w:after="60"/>
              <w:jc w:val="center"/>
            </w:pPr>
            <w:r>
              <w:rPr>
                <w:b/>
                <w:bCs/>
                <w:color w:val="1F4E79"/>
                <w:sz w:val="20"/>
                <w:szCs w:val="20"/>
              </w:rPr>
              <w:t>3</w:t>
            </w:r>
          </w:p>
        </w:tc>
        <w:tc>
          <w:tcPr>
            <w:tcW w:w="700" w:type="dxa"/>
            <w:tcBorders>
              <w:top w:val="single" w:sz="4" w:space="0" w:color="CCCCCC"/>
              <w:left w:val="single" w:sz="4" w:space="0" w:color="CCCCCC"/>
              <w:bottom w:val="single" w:sz="4" w:space="0" w:color="CCCCCC"/>
              <w:right w:val="single" w:sz="4" w:space="0" w:color="CCCCCC"/>
            </w:tcBorders>
            <w:shd w:val="clear" w:color="auto" w:fill="F2F7FC"/>
          </w:tcPr>
          <w:p w14:paraId="598C6F43" w14:textId="77777777" w:rsidR="00F81FB6" w:rsidRDefault="00571C04">
            <w:pPr>
              <w:spacing w:before="60" w:after="60"/>
              <w:jc w:val="center"/>
            </w:pPr>
            <w:r>
              <w:rPr>
                <w:color w:val="2F2F2F"/>
                <w:sz w:val="20"/>
                <w:szCs w:val="20"/>
              </w:rPr>
              <w:t>20%</w:t>
            </w:r>
          </w:p>
        </w:tc>
        <w:tc>
          <w:tcPr>
            <w:tcW w:w="700" w:type="dxa"/>
            <w:tcBorders>
              <w:top w:val="single" w:sz="4" w:space="0" w:color="CCCCCC"/>
              <w:left w:val="single" w:sz="4" w:space="0" w:color="CCCCCC"/>
              <w:bottom w:val="single" w:sz="4" w:space="0" w:color="CCCCCC"/>
              <w:right w:val="single" w:sz="4" w:space="0" w:color="CCCCCC"/>
            </w:tcBorders>
            <w:shd w:val="clear" w:color="auto" w:fill="F2F7FC"/>
          </w:tcPr>
          <w:p w14:paraId="7B955586" w14:textId="77777777" w:rsidR="00F81FB6" w:rsidRDefault="00571C04">
            <w:pPr>
              <w:spacing w:before="60" w:after="60"/>
              <w:jc w:val="center"/>
            </w:pPr>
            <w:r>
              <w:rPr>
                <w:color w:val="2F2F2F"/>
                <w:sz w:val="20"/>
                <w:szCs w:val="20"/>
              </w:rPr>
              <w:t>100</w:t>
            </w:r>
          </w:p>
        </w:tc>
        <w:tc>
          <w:tcPr>
            <w:tcW w:w="1100" w:type="dxa"/>
            <w:tcBorders>
              <w:top w:val="single" w:sz="4" w:space="0" w:color="CCCCCC"/>
              <w:left w:val="single" w:sz="4" w:space="0" w:color="CCCCCC"/>
              <w:bottom w:val="single" w:sz="4" w:space="0" w:color="CCCCCC"/>
              <w:right w:val="single" w:sz="4" w:space="0" w:color="CCCCCC"/>
            </w:tcBorders>
            <w:shd w:val="clear" w:color="auto" w:fill="F2F7FC"/>
          </w:tcPr>
          <w:p w14:paraId="2AFEDD02" w14:textId="77777777" w:rsidR="00F81FB6" w:rsidRDefault="00571C04">
            <w:pPr>
              <w:spacing w:before="60" w:after="60"/>
              <w:jc w:val="center"/>
            </w:pPr>
            <w:r>
              <w:rPr>
                <w:b/>
                <w:bCs/>
                <w:color w:val="1A7432"/>
                <w:sz w:val="20"/>
                <w:szCs w:val="20"/>
              </w:rPr>
              <w:t>60</w:t>
            </w:r>
          </w:p>
        </w:tc>
        <w:tc>
          <w:tcPr>
            <w:tcW w:w="3460" w:type="dxa"/>
            <w:tcBorders>
              <w:top w:val="single" w:sz="4" w:space="0" w:color="CCCCCC"/>
              <w:left w:val="single" w:sz="4" w:space="0" w:color="CCCCCC"/>
              <w:bottom w:val="single" w:sz="4" w:space="0" w:color="CCCCCC"/>
              <w:right w:val="single" w:sz="4" w:space="0" w:color="CCCCCC"/>
            </w:tcBorders>
            <w:shd w:val="clear" w:color="auto" w:fill="F2F7FC"/>
          </w:tcPr>
          <w:p w14:paraId="0E715BCA" w14:textId="77777777" w:rsidR="00F81FB6" w:rsidRDefault="00571C04">
            <w:pPr>
              <w:spacing w:before="60" w:after="60"/>
            </w:pPr>
            <w:r>
              <w:rPr>
                <w:color w:val="2F2F2F"/>
                <w:sz w:val="20"/>
                <w:szCs w:val="20"/>
              </w:rPr>
              <w:t>On-time delivery 96.2%; damage rate 0.3%; inventory accuracy 99.1%; claims resolution avg 7 days; client retention 82%</w:t>
            </w:r>
          </w:p>
        </w:tc>
      </w:tr>
      <w:tr w:rsidR="00F81FB6" w14:paraId="72204BFC" w14:textId="77777777">
        <w:tblPrEx>
          <w:tblCellMar>
            <w:top w:w="0" w:type="dxa"/>
            <w:bottom w:w="0" w:type="dxa"/>
          </w:tblCellMar>
        </w:tblPrEx>
        <w:tc>
          <w:tcPr>
            <w:tcW w:w="2600" w:type="dxa"/>
            <w:tcBorders>
              <w:top w:val="single" w:sz="4" w:space="0" w:color="CCCCCC"/>
              <w:left w:val="single" w:sz="4" w:space="0" w:color="CCCCCC"/>
              <w:bottom w:val="single" w:sz="4" w:space="0" w:color="CCCCCC"/>
              <w:right w:val="single" w:sz="4" w:space="0" w:color="CCCCCC"/>
            </w:tcBorders>
            <w:shd w:val="clear" w:color="auto" w:fill="FFFFFF"/>
          </w:tcPr>
          <w:p w14:paraId="45D4FF96" w14:textId="77777777" w:rsidR="00F81FB6" w:rsidRDefault="00571C04">
            <w:pPr>
              <w:spacing w:before="60" w:after="60"/>
            </w:pPr>
            <w:r>
              <w:rPr>
                <w:b/>
                <w:bCs/>
                <w:color w:val="2F2F2F"/>
                <w:sz w:val="20"/>
                <w:szCs w:val="20"/>
              </w:rPr>
              <w:t>Operational Capacity</w:t>
            </w:r>
          </w:p>
        </w:tc>
        <w:tc>
          <w:tcPr>
            <w:tcW w:w="800" w:type="dxa"/>
            <w:tcBorders>
              <w:top w:val="single" w:sz="4" w:space="0" w:color="CCCCCC"/>
              <w:left w:val="single" w:sz="4" w:space="0" w:color="CCCCCC"/>
              <w:bottom w:val="single" w:sz="4" w:space="0" w:color="CCCCCC"/>
              <w:right w:val="single" w:sz="4" w:space="0" w:color="CCCCCC"/>
            </w:tcBorders>
            <w:shd w:val="clear" w:color="auto" w:fill="FFFFFF"/>
          </w:tcPr>
          <w:p w14:paraId="175DFBE8" w14:textId="77777777" w:rsidR="00F81FB6" w:rsidRDefault="00571C04">
            <w:pPr>
              <w:spacing w:before="60" w:after="60"/>
              <w:jc w:val="center"/>
            </w:pPr>
            <w:r>
              <w:rPr>
                <w:b/>
                <w:bCs/>
                <w:color w:val="1F4E79"/>
                <w:sz w:val="20"/>
                <w:szCs w:val="20"/>
              </w:rPr>
              <w:t>3</w:t>
            </w:r>
          </w:p>
        </w:tc>
        <w:tc>
          <w:tcPr>
            <w:tcW w:w="700" w:type="dxa"/>
            <w:tcBorders>
              <w:top w:val="single" w:sz="4" w:space="0" w:color="CCCCCC"/>
              <w:left w:val="single" w:sz="4" w:space="0" w:color="CCCCCC"/>
              <w:bottom w:val="single" w:sz="4" w:space="0" w:color="CCCCCC"/>
              <w:right w:val="single" w:sz="4" w:space="0" w:color="CCCCCC"/>
            </w:tcBorders>
            <w:shd w:val="clear" w:color="auto" w:fill="FFFFFF"/>
          </w:tcPr>
          <w:p w14:paraId="0B95A1AA" w14:textId="77777777" w:rsidR="00F81FB6" w:rsidRDefault="00571C04">
            <w:pPr>
              <w:spacing w:before="60" w:after="60"/>
              <w:jc w:val="center"/>
            </w:pPr>
            <w:r>
              <w:rPr>
                <w:color w:val="2F2F2F"/>
                <w:sz w:val="20"/>
                <w:szCs w:val="20"/>
              </w:rPr>
              <w:t>20%</w:t>
            </w:r>
          </w:p>
        </w:tc>
        <w:tc>
          <w:tcPr>
            <w:tcW w:w="700" w:type="dxa"/>
            <w:tcBorders>
              <w:top w:val="single" w:sz="4" w:space="0" w:color="CCCCCC"/>
              <w:left w:val="single" w:sz="4" w:space="0" w:color="CCCCCC"/>
              <w:bottom w:val="single" w:sz="4" w:space="0" w:color="CCCCCC"/>
              <w:right w:val="single" w:sz="4" w:space="0" w:color="CCCCCC"/>
            </w:tcBorders>
            <w:shd w:val="clear" w:color="auto" w:fill="FFFFFF"/>
          </w:tcPr>
          <w:p w14:paraId="0667BAF2" w14:textId="77777777" w:rsidR="00F81FB6" w:rsidRDefault="00571C04">
            <w:pPr>
              <w:spacing w:before="60" w:after="60"/>
              <w:jc w:val="center"/>
            </w:pPr>
            <w:r>
              <w:rPr>
                <w:color w:val="2F2F2F"/>
                <w:sz w:val="20"/>
                <w:szCs w:val="20"/>
              </w:rPr>
              <w:t>100</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cPr>
          <w:p w14:paraId="547B94A1" w14:textId="77777777" w:rsidR="00F81FB6" w:rsidRDefault="00571C04">
            <w:pPr>
              <w:spacing w:before="60" w:after="60"/>
              <w:jc w:val="center"/>
            </w:pPr>
            <w:r>
              <w:rPr>
                <w:b/>
                <w:bCs/>
                <w:color w:val="1A7432"/>
                <w:sz w:val="20"/>
                <w:szCs w:val="20"/>
              </w:rPr>
              <w:t>45</w:t>
            </w:r>
          </w:p>
        </w:tc>
        <w:tc>
          <w:tcPr>
            <w:tcW w:w="3460" w:type="dxa"/>
            <w:tcBorders>
              <w:top w:val="single" w:sz="4" w:space="0" w:color="CCCCCC"/>
              <w:left w:val="single" w:sz="4" w:space="0" w:color="CCCCCC"/>
              <w:bottom w:val="single" w:sz="4" w:space="0" w:color="CCCCCC"/>
              <w:right w:val="single" w:sz="4" w:space="0" w:color="CCCCCC"/>
            </w:tcBorders>
            <w:shd w:val="clear" w:color="auto" w:fill="FFFFFF"/>
          </w:tcPr>
          <w:p w14:paraId="2401BF9A" w14:textId="77777777" w:rsidR="00F81FB6" w:rsidRDefault="00571C04">
            <w:pPr>
              <w:spacing w:before="60" w:after="60"/>
            </w:pPr>
            <w:r>
              <w:rPr>
                <w:color w:val="2F2F2F"/>
                <w:sz w:val="20"/>
                <w:szCs w:val="20"/>
              </w:rPr>
              <w:t>Fleet utilization 78%; warehouse utilization 83%; driver turnover 62%; documented seasonal flex plan; 3 warehouse locations</w:t>
            </w:r>
          </w:p>
        </w:tc>
      </w:tr>
      <w:tr w:rsidR="00F81FB6" w14:paraId="06C529EE" w14:textId="77777777">
        <w:tblPrEx>
          <w:tblCellMar>
            <w:top w:w="0" w:type="dxa"/>
            <w:bottom w:w="0" w:type="dxa"/>
          </w:tblCellMar>
        </w:tblPrEx>
        <w:tc>
          <w:tcPr>
            <w:tcW w:w="2600" w:type="dxa"/>
            <w:tcBorders>
              <w:top w:val="single" w:sz="4" w:space="0" w:color="CCCCCC"/>
              <w:left w:val="single" w:sz="4" w:space="0" w:color="CCCCCC"/>
              <w:bottom w:val="single" w:sz="4" w:space="0" w:color="CCCCCC"/>
              <w:right w:val="single" w:sz="4" w:space="0" w:color="CCCCCC"/>
            </w:tcBorders>
            <w:shd w:val="clear" w:color="auto" w:fill="F2F7FC"/>
          </w:tcPr>
          <w:p w14:paraId="5C1008F8" w14:textId="77777777" w:rsidR="00F81FB6" w:rsidRDefault="00571C04">
            <w:pPr>
              <w:spacing w:before="60" w:after="60"/>
            </w:pPr>
            <w:r>
              <w:rPr>
                <w:b/>
                <w:bCs/>
                <w:color w:val="2F2F2F"/>
                <w:sz w:val="20"/>
                <w:szCs w:val="20"/>
              </w:rPr>
              <w:t>Compliance Record</w:t>
            </w:r>
          </w:p>
        </w:tc>
        <w:tc>
          <w:tcPr>
            <w:tcW w:w="800" w:type="dxa"/>
            <w:tcBorders>
              <w:top w:val="single" w:sz="4" w:space="0" w:color="CCCCCC"/>
              <w:left w:val="single" w:sz="4" w:space="0" w:color="CCCCCC"/>
              <w:bottom w:val="single" w:sz="4" w:space="0" w:color="CCCCCC"/>
              <w:right w:val="single" w:sz="4" w:space="0" w:color="CCCCCC"/>
            </w:tcBorders>
            <w:shd w:val="clear" w:color="auto" w:fill="F2F7FC"/>
          </w:tcPr>
          <w:p w14:paraId="6E34E6D6" w14:textId="77777777" w:rsidR="00F81FB6" w:rsidRDefault="00571C04">
            <w:pPr>
              <w:spacing w:before="60" w:after="60"/>
              <w:jc w:val="center"/>
            </w:pPr>
            <w:r>
              <w:rPr>
                <w:b/>
                <w:bCs/>
                <w:color w:val="1F4E79"/>
                <w:sz w:val="20"/>
                <w:szCs w:val="20"/>
              </w:rPr>
              <w:t>3</w:t>
            </w:r>
          </w:p>
        </w:tc>
        <w:tc>
          <w:tcPr>
            <w:tcW w:w="700" w:type="dxa"/>
            <w:tcBorders>
              <w:top w:val="single" w:sz="4" w:space="0" w:color="CCCCCC"/>
              <w:left w:val="single" w:sz="4" w:space="0" w:color="CCCCCC"/>
              <w:bottom w:val="single" w:sz="4" w:space="0" w:color="CCCCCC"/>
              <w:right w:val="single" w:sz="4" w:space="0" w:color="CCCCCC"/>
            </w:tcBorders>
            <w:shd w:val="clear" w:color="auto" w:fill="F2F7FC"/>
          </w:tcPr>
          <w:p w14:paraId="7E888A49" w14:textId="77777777" w:rsidR="00F81FB6" w:rsidRDefault="00571C04">
            <w:pPr>
              <w:spacing w:before="60" w:after="60"/>
              <w:jc w:val="center"/>
            </w:pPr>
            <w:r>
              <w:rPr>
                <w:color w:val="2F2F2F"/>
                <w:sz w:val="20"/>
                <w:szCs w:val="20"/>
              </w:rPr>
              <w:t>10%</w:t>
            </w:r>
          </w:p>
        </w:tc>
        <w:tc>
          <w:tcPr>
            <w:tcW w:w="700" w:type="dxa"/>
            <w:tcBorders>
              <w:top w:val="single" w:sz="4" w:space="0" w:color="CCCCCC"/>
              <w:left w:val="single" w:sz="4" w:space="0" w:color="CCCCCC"/>
              <w:bottom w:val="single" w:sz="4" w:space="0" w:color="CCCCCC"/>
              <w:right w:val="single" w:sz="4" w:space="0" w:color="CCCCCC"/>
            </w:tcBorders>
            <w:shd w:val="clear" w:color="auto" w:fill="F2F7FC"/>
          </w:tcPr>
          <w:p w14:paraId="572E1E1C" w14:textId="77777777" w:rsidR="00F81FB6" w:rsidRDefault="00571C04">
            <w:pPr>
              <w:spacing w:before="60" w:after="60"/>
              <w:jc w:val="center"/>
            </w:pPr>
            <w:r>
              <w:rPr>
                <w:color w:val="2F2F2F"/>
                <w:sz w:val="20"/>
                <w:szCs w:val="20"/>
              </w:rPr>
              <w:t>100</w:t>
            </w:r>
          </w:p>
        </w:tc>
        <w:tc>
          <w:tcPr>
            <w:tcW w:w="1100" w:type="dxa"/>
            <w:tcBorders>
              <w:top w:val="single" w:sz="4" w:space="0" w:color="CCCCCC"/>
              <w:left w:val="single" w:sz="4" w:space="0" w:color="CCCCCC"/>
              <w:bottom w:val="single" w:sz="4" w:space="0" w:color="CCCCCC"/>
              <w:right w:val="single" w:sz="4" w:space="0" w:color="CCCCCC"/>
            </w:tcBorders>
            <w:shd w:val="clear" w:color="auto" w:fill="F2F7FC"/>
          </w:tcPr>
          <w:p w14:paraId="1F46014C" w14:textId="77777777" w:rsidR="00F81FB6" w:rsidRDefault="00571C04">
            <w:pPr>
              <w:spacing w:before="60" w:after="60"/>
              <w:jc w:val="center"/>
            </w:pPr>
            <w:r>
              <w:rPr>
                <w:b/>
                <w:bCs/>
                <w:color w:val="1A7432"/>
                <w:sz w:val="20"/>
                <w:szCs w:val="20"/>
              </w:rPr>
              <w:t>30</w:t>
            </w:r>
          </w:p>
        </w:tc>
        <w:tc>
          <w:tcPr>
            <w:tcW w:w="3460" w:type="dxa"/>
            <w:tcBorders>
              <w:top w:val="single" w:sz="4" w:space="0" w:color="CCCCCC"/>
              <w:left w:val="single" w:sz="4" w:space="0" w:color="CCCCCC"/>
              <w:bottom w:val="single" w:sz="4" w:space="0" w:color="CCCCCC"/>
              <w:right w:val="single" w:sz="4" w:space="0" w:color="CCCCCC"/>
            </w:tcBorders>
            <w:shd w:val="clear" w:color="auto" w:fill="F2F7FC"/>
          </w:tcPr>
          <w:p w14:paraId="5BAC9461" w14:textId="77777777" w:rsidR="00F81FB6" w:rsidRDefault="00571C04">
            <w:pPr>
              <w:spacing w:before="60" w:after="60"/>
            </w:pPr>
            <w:r>
              <w:rPr>
                <w:color w:val="2F2F2F"/>
                <w:sz w:val="20"/>
                <w:szCs w:val="20"/>
              </w:rPr>
              <w:t>Minor violations in 2022 (remediated); SmartWay Partner; basic food safety compliance; no debarment; ELD compliant</w:t>
            </w:r>
          </w:p>
        </w:tc>
      </w:tr>
      <w:tr w:rsidR="00F81FB6" w14:paraId="217F3920" w14:textId="77777777">
        <w:tblPrEx>
          <w:tblCellMar>
            <w:top w:w="0" w:type="dxa"/>
            <w:bottom w:w="0" w:type="dxa"/>
          </w:tblCellMar>
        </w:tblPrEx>
        <w:tc>
          <w:tcPr>
            <w:tcW w:w="2600" w:type="dxa"/>
            <w:tcBorders>
              <w:top w:val="single" w:sz="4" w:space="0" w:color="CCCCCC"/>
              <w:left w:val="single" w:sz="4" w:space="0" w:color="CCCCCC"/>
              <w:bottom w:val="single" w:sz="4" w:space="0" w:color="CCCCCC"/>
              <w:right w:val="single" w:sz="4" w:space="0" w:color="CCCCCC"/>
            </w:tcBorders>
            <w:shd w:val="clear" w:color="auto" w:fill="FFFFFF"/>
          </w:tcPr>
          <w:p w14:paraId="54E63706" w14:textId="77777777" w:rsidR="00F81FB6" w:rsidRDefault="00571C04">
            <w:pPr>
              <w:spacing w:before="60" w:after="60"/>
            </w:pPr>
            <w:r>
              <w:rPr>
                <w:b/>
                <w:bCs/>
                <w:color w:val="2F2F2F"/>
                <w:sz w:val="20"/>
                <w:szCs w:val="20"/>
              </w:rPr>
              <w:t>Technology</w:t>
            </w:r>
          </w:p>
        </w:tc>
        <w:tc>
          <w:tcPr>
            <w:tcW w:w="800" w:type="dxa"/>
            <w:tcBorders>
              <w:top w:val="single" w:sz="4" w:space="0" w:color="CCCCCC"/>
              <w:left w:val="single" w:sz="4" w:space="0" w:color="CCCCCC"/>
              <w:bottom w:val="single" w:sz="4" w:space="0" w:color="CCCCCC"/>
              <w:right w:val="single" w:sz="4" w:space="0" w:color="CCCCCC"/>
            </w:tcBorders>
            <w:shd w:val="clear" w:color="auto" w:fill="FFFFFF"/>
          </w:tcPr>
          <w:p w14:paraId="1ED9B76D" w14:textId="77777777" w:rsidR="00F81FB6" w:rsidRDefault="00571C04">
            <w:pPr>
              <w:spacing w:before="60" w:after="60"/>
              <w:jc w:val="center"/>
            </w:pPr>
            <w:r>
              <w:rPr>
                <w:b/>
                <w:bCs/>
                <w:color w:val="1F4E79"/>
                <w:sz w:val="20"/>
                <w:szCs w:val="20"/>
              </w:rPr>
              <w:t>3</w:t>
            </w:r>
          </w:p>
        </w:tc>
        <w:tc>
          <w:tcPr>
            <w:tcW w:w="700" w:type="dxa"/>
            <w:tcBorders>
              <w:top w:val="single" w:sz="4" w:space="0" w:color="CCCCCC"/>
              <w:left w:val="single" w:sz="4" w:space="0" w:color="CCCCCC"/>
              <w:bottom w:val="single" w:sz="4" w:space="0" w:color="CCCCCC"/>
              <w:right w:val="single" w:sz="4" w:space="0" w:color="CCCCCC"/>
            </w:tcBorders>
            <w:shd w:val="clear" w:color="auto" w:fill="FFFFFF"/>
          </w:tcPr>
          <w:p w14:paraId="215E86B3" w14:textId="77777777" w:rsidR="00F81FB6" w:rsidRDefault="00571C04">
            <w:pPr>
              <w:spacing w:before="60" w:after="60"/>
              <w:jc w:val="center"/>
            </w:pPr>
            <w:r>
              <w:rPr>
                <w:color w:val="2F2F2F"/>
                <w:sz w:val="20"/>
                <w:szCs w:val="20"/>
              </w:rPr>
              <w:t>10%</w:t>
            </w:r>
          </w:p>
        </w:tc>
        <w:tc>
          <w:tcPr>
            <w:tcW w:w="700" w:type="dxa"/>
            <w:tcBorders>
              <w:top w:val="single" w:sz="4" w:space="0" w:color="CCCCCC"/>
              <w:left w:val="single" w:sz="4" w:space="0" w:color="CCCCCC"/>
              <w:bottom w:val="single" w:sz="4" w:space="0" w:color="CCCCCC"/>
              <w:right w:val="single" w:sz="4" w:space="0" w:color="CCCCCC"/>
            </w:tcBorders>
            <w:shd w:val="clear" w:color="auto" w:fill="FFFFFF"/>
          </w:tcPr>
          <w:p w14:paraId="42623A0C" w14:textId="77777777" w:rsidR="00F81FB6" w:rsidRDefault="00571C04">
            <w:pPr>
              <w:spacing w:before="60" w:after="60"/>
              <w:jc w:val="center"/>
            </w:pPr>
            <w:r>
              <w:rPr>
                <w:color w:val="2F2F2F"/>
                <w:sz w:val="20"/>
                <w:szCs w:val="20"/>
              </w:rPr>
              <w:t>100</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cPr>
          <w:p w14:paraId="4D59C0F7" w14:textId="77777777" w:rsidR="00F81FB6" w:rsidRDefault="00571C04">
            <w:pPr>
              <w:spacing w:before="60" w:after="60"/>
              <w:jc w:val="center"/>
            </w:pPr>
            <w:r>
              <w:rPr>
                <w:b/>
                <w:bCs/>
                <w:color w:val="1A7432"/>
                <w:sz w:val="20"/>
                <w:szCs w:val="20"/>
              </w:rPr>
              <w:t>30</w:t>
            </w:r>
          </w:p>
        </w:tc>
        <w:tc>
          <w:tcPr>
            <w:tcW w:w="3460" w:type="dxa"/>
            <w:tcBorders>
              <w:top w:val="single" w:sz="4" w:space="0" w:color="CCCCCC"/>
              <w:left w:val="single" w:sz="4" w:space="0" w:color="CCCCCC"/>
              <w:bottom w:val="single" w:sz="4" w:space="0" w:color="CCCCCC"/>
              <w:right w:val="single" w:sz="4" w:space="0" w:color="CCCCCC"/>
            </w:tcBorders>
            <w:shd w:val="clear" w:color="auto" w:fill="FFFFFF"/>
          </w:tcPr>
          <w:p w14:paraId="074C9F12" w14:textId="77777777" w:rsidR="00F81FB6" w:rsidRDefault="00571C04">
            <w:pPr>
              <w:spacing w:before="60" w:after="60"/>
            </w:pPr>
            <w:r>
              <w:rPr>
                <w:color w:val="2F2F2F"/>
                <w:sz w:val="20"/>
                <w:szCs w:val="20"/>
              </w:rPr>
              <w:t>Standard TMS and WMS; GPS tracking with customer portal; EDI 210/214; telematics for fleet; temperature logging for cold chain</w:t>
            </w:r>
          </w:p>
        </w:tc>
      </w:tr>
      <w:tr w:rsidR="00F81FB6" w14:paraId="07310134" w14:textId="77777777">
        <w:tblPrEx>
          <w:tblCellMar>
            <w:top w:w="0" w:type="dxa"/>
            <w:bottom w:w="0" w:type="dxa"/>
          </w:tblCellMar>
        </w:tblPrEx>
        <w:tc>
          <w:tcPr>
            <w:tcW w:w="2600" w:type="dxa"/>
            <w:tcBorders>
              <w:top w:val="single" w:sz="4" w:space="0" w:color="CCCCCC"/>
              <w:left w:val="single" w:sz="4" w:space="0" w:color="CCCCCC"/>
              <w:bottom w:val="single" w:sz="4" w:space="0" w:color="CCCCCC"/>
              <w:right w:val="single" w:sz="4" w:space="0" w:color="CCCCCC"/>
            </w:tcBorders>
            <w:shd w:val="clear" w:color="auto" w:fill="1F4E79"/>
          </w:tcPr>
          <w:p w14:paraId="28BF5452" w14:textId="77777777" w:rsidR="00F81FB6" w:rsidRDefault="00571C04">
            <w:pPr>
              <w:spacing w:before="60" w:after="60"/>
              <w:jc w:val="right"/>
            </w:pPr>
            <w:r>
              <w:rPr>
                <w:b/>
                <w:bCs/>
                <w:color w:val="FFFFFF"/>
                <w:sz w:val="20"/>
                <w:szCs w:val="20"/>
              </w:rPr>
              <w:t>COMPOSITE TOTAL</w:t>
            </w:r>
          </w:p>
        </w:tc>
        <w:tc>
          <w:tcPr>
            <w:tcW w:w="800" w:type="dxa"/>
            <w:tcBorders>
              <w:top w:val="single" w:sz="4" w:space="0" w:color="CCCCCC"/>
              <w:left w:val="single" w:sz="4" w:space="0" w:color="CCCCCC"/>
              <w:bottom w:val="single" w:sz="4" w:space="0" w:color="CCCCCC"/>
              <w:right w:val="single" w:sz="4" w:space="0" w:color="CCCCCC"/>
            </w:tcBorders>
            <w:shd w:val="clear" w:color="auto" w:fill="1F4E79"/>
          </w:tcPr>
          <w:p w14:paraId="4F12A382" w14:textId="77777777" w:rsidR="00F81FB6" w:rsidRDefault="00F81FB6">
            <w:pPr>
              <w:spacing w:before="60" w:after="60"/>
            </w:pPr>
          </w:p>
        </w:tc>
        <w:tc>
          <w:tcPr>
            <w:tcW w:w="700" w:type="dxa"/>
            <w:tcBorders>
              <w:top w:val="single" w:sz="4" w:space="0" w:color="CCCCCC"/>
              <w:left w:val="single" w:sz="4" w:space="0" w:color="CCCCCC"/>
              <w:bottom w:val="single" w:sz="4" w:space="0" w:color="CCCCCC"/>
              <w:right w:val="single" w:sz="4" w:space="0" w:color="CCCCCC"/>
            </w:tcBorders>
            <w:shd w:val="clear" w:color="auto" w:fill="1F4E79"/>
          </w:tcPr>
          <w:p w14:paraId="19178447" w14:textId="77777777" w:rsidR="00F81FB6" w:rsidRDefault="00F81FB6">
            <w:pPr>
              <w:spacing w:before="60" w:after="60"/>
            </w:pPr>
          </w:p>
        </w:tc>
        <w:tc>
          <w:tcPr>
            <w:tcW w:w="700" w:type="dxa"/>
            <w:tcBorders>
              <w:top w:val="single" w:sz="4" w:space="0" w:color="CCCCCC"/>
              <w:left w:val="single" w:sz="4" w:space="0" w:color="CCCCCC"/>
              <w:bottom w:val="single" w:sz="4" w:space="0" w:color="CCCCCC"/>
              <w:right w:val="single" w:sz="4" w:space="0" w:color="CCCCCC"/>
            </w:tcBorders>
            <w:shd w:val="clear" w:color="auto" w:fill="1F4E79"/>
          </w:tcPr>
          <w:p w14:paraId="363A474C" w14:textId="77777777" w:rsidR="00F81FB6" w:rsidRDefault="00571C04">
            <w:pPr>
              <w:spacing w:before="60" w:after="60"/>
              <w:jc w:val="center"/>
            </w:pPr>
            <w:r>
              <w:rPr>
                <w:b/>
                <w:bCs/>
                <w:color w:val="BDD7EE"/>
                <w:sz w:val="20"/>
                <w:szCs w:val="20"/>
              </w:rPr>
              <w:t>400</w:t>
            </w:r>
          </w:p>
        </w:tc>
        <w:tc>
          <w:tcPr>
            <w:tcW w:w="1100" w:type="dxa"/>
            <w:tcBorders>
              <w:top w:val="single" w:sz="4" w:space="0" w:color="CCCCCC"/>
              <w:left w:val="single" w:sz="4" w:space="0" w:color="CCCCCC"/>
              <w:bottom w:val="single" w:sz="4" w:space="0" w:color="CCCCCC"/>
              <w:right w:val="single" w:sz="4" w:space="0" w:color="CCCCCC"/>
            </w:tcBorders>
            <w:shd w:val="clear" w:color="auto" w:fill="1A7432"/>
          </w:tcPr>
          <w:p w14:paraId="74CE0E97" w14:textId="77777777" w:rsidR="00F81FB6" w:rsidRDefault="00571C04">
            <w:pPr>
              <w:spacing w:before="60" w:after="60"/>
              <w:jc w:val="center"/>
            </w:pPr>
            <w:r>
              <w:rPr>
                <w:b/>
                <w:bCs/>
                <w:color w:val="FFFFFF"/>
                <w:sz w:val="20"/>
                <w:szCs w:val="20"/>
              </w:rPr>
              <w:t>320</w:t>
            </w:r>
          </w:p>
        </w:tc>
        <w:tc>
          <w:tcPr>
            <w:tcW w:w="3460" w:type="dxa"/>
            <w:tcBorders>
              <w:top w:val="single" w:sz="4" w:space="0" w:color="CCCCCC"/>
              <w:left w:val="single" w:sz="4" w:space="0" w:color="CCCCCC"/>
              <w:bottom w:val="single" w:sz="4" w:space="0" w:color="CCCCCC"/>
              <w:right w:val="single" w:sz="4" w:space="0" w:color="CCCCCC"/>
            </w:tcBorders>
            <w:shd w:val="clear" w:color="auto" w:fill="1A7432"/>
          </w:tcPr>
          <w:p w14:paraId="2012AAD9" w14:textId="77777777" w:rsidR="00F81FB6" w:rsidRDefault="00571C04">
            <w:pPr>
              <w:spacing w:before="60" w:after="60"/>
            </w:pPr>
            <w:r>
              <w:rPr>
                <w:b/>
                <w:bCs/>
                <w:color w:val="FFFFFF"/>
                <w:sz w:val="20"/>
                <w:szCs w:val="20"/>
              </w:rPr>
              <w:t xml:space="preserve">●  LOW RISK </w:t>
            </w:r>
            <w:r>
              <w:rPr>
                <w:color w:val="BDD7EE"/>
                <w:sz w:val="20"/>
                <w:szCs w:val="20"/>
              </w:rPr>
              <w:t>(320/400 = 80%) — Approve; standard MSA terms</w:t>
            </w:r>
          </w:p>
        </w:tc>
      </w:tr>
    </w:tbl>
    <w:p w14:paraId="7E07EE78" w14:textId="77777777" w:rsidR="00F81FB6" w:rsidRDefault="00F81FB6">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81FB6" w14:paraId="6F36B802"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4E79"/>
          </w:tcPr>
          <w:p w14:paraId="115475D8" w14:textId="77777777" w:rsidR="00F81FB6" w:rsidRDefault="00571C04">
            <w:pPr>
              <w:pStyle w:val="SectionHeader"/>
              <w:spacing w:before="120" w:after="40"/>
              <w:ind w:left="160"/>
            </w:pPr>
            <w:r>
              <w:t>SECTION F</w:t>
            </w:r>
          </w:p>
          <w:p w14:paraId="7039A9DF" w14:textId="77777777" w:rsidR="00F81FB6" w:rsidRDefault="00571C04">
            <w:pPr>
              <w:spacing w:after="120"/>
              <w:ind w:left="160"/>
            </w:pPr>
            <w:r>
              <w:rPr>
                <w:i/>
                <w:iCs/>
                <w:color w:val="BDD7EE"/>
                <w:sz w:val="19"/>
                <w:szCs w:val="19"/>
              </w:rPr>
              <w:t>Decision-Making Framework</w:t>
            </w:r>
          </w:p>
        </w:tc>
      </w:tr>
    </w:tbl>
    <w:p w14:paraId="213E296D" w14:textId="77777777" w:rsidR="00F81FB6" w:rsidRDefault="00F81FB6">
      <w:pPr>
        <w:spacing w:after="120"/>
      </w:pPr>
    </w:p>
    <w:p w14:paraId="68C80872" w14:textId="77777777" w:rsidR="00F81FB6" w:rsidRDefault="00571C04">
      <w:pPr>
        <w:pStyle w:val="BodyText"/>
      </w:pPr>
      <w:r>
        <w:t>The following table defines the required approval authority, monitoring obligations, and contract enhancements for each risk tier. All actions are mandatory, not advisory.</w:t>
      </w:r>
    </w:p>
    <w:p w14:paraId="5CF8F30D" w14:textId="77777777" w:rsidR="00F81FB6" w:rsidRDefault="00F81FB6"/>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1600"/>
        <w:gridCol w:w="3000"/>
        <w:gridCol w:w="3360"/>
      </w:tblGrid>
      <w:tr w:rsidR="00F81FB6" w14:paraId="692FEE78" w14:textId="77777777">
        <w:tblPrEx>
          <w:tblCellMar>
            <w:top w:w="0" w:type="dxa"/>
            <w:bottom w:w="0" w:type="dxa"/>
          </w:tblCellMar>
        </w:tblPrEx>
        <w:trPr>
          <w:tblHeader/>
        </w:trPr>
        <w:tc>
          <w:tcPr>
            <w:tcW w:w="1400" w:type="dxa"/>
            <w:tcBorders>
              <w:top w:val="single" w:sz="4" w:space="0" w:color="CCCCCC"/>
              <w:left w:val="single" w:sz="4" w:space="0" w:color="CCCCCC"/>
              <w:bottom w:val="single" w:sz="4" w:space="0" w:color="CCCCCC"/>
              <w:right w:val="single" w:sz="4" w:space="0" w:color="CCCCCC"/>
            </w:tcBorders>
            <w:shd w:val="clear" w:color="auto" w:fill="1F4E79"/>
            <w:vAlign w:val="center"/>
          </w:tcPr>
          <w:p w14:paraId="55911A4E" w14:textId="77777777" w:rsidR="00F81FB6" w:rsidRDefault="00571C04">
            <w:pPr>
              <w:spacing w:before="60" w:after="60"/>
              <w:jc w:val="center"/>
            </w:pPr>
            <w:r>
              <w:rPr>
                <w:b/>
                <w:bCs/>
                <w:color w:val="FFFFFF"/>
                <w:sz w:val="20"/>
                <w:szCs w:val="20"/>
              </w:rPr>
              <w:t>Risk Level</w:t>
            </w:r>
          </w:p>
        </w:tc>
        <w:tc>
          <w:tcPr>
            <w:tcW w:w="1600" w:type="dxa"/>
            <w:tcBorders>
              <w:top w:val="single" w:sz="4" w:space="0" w:color="CCCCCC"/>
              <w:left w:val="single" w:sz="4" w:space="0" w:color="CCCCCC"/>
              <w:bottom w:val="single" w:sz="4" w:space="0" w:color="CCCCCC"/>
              <w:right w:val="single" w:sz="4" w:space="0" w:color="CCCCCC"/>
            </w:tcBorders>
            <w:shd w:val="clear" w:color="auto" w:fill="1F4E79"/>
            <w:vAlign w:val="center"/>
          </w:tcPr>
          <w:p w14:paraId="3AAB0158" w14:textId="77777777" w:rsidR="00F81FB6" w:rsidRDefault="00571C04">
            <w:pPr>
              <w:spacing w:before="60" w:after="60"/>
              <w:jc w:val="center"/>
            </w:pPr>
            <w:r>
              <w:rPr>
                <w:b/>
                <w:bCs/>
                <w:color w:val="FFFFFF"/>
                <w:sz w:val="20"/>
                <w:szCs w:val="20"/>
              </w:rPr>
              <w:t>Approval Authority</w:t>
            </w:r>
          </w:p>
        </w:tc>
        <w:tc>
          <w:tcPr>
            <w:tcW w:w="3000" w:type="dxa"/>
            <w:tcBorders>
              <w:top w:val="single" w:sz="4" w:space="0" w:color="CCCCCC"/>
              <w:left w:val="single" w:sz="4" w:space="0" w:color="CCCCCC"/>
              <w:bottom w:val="single" w:sz="4" w:space="0" w:color="CCCCCC"/>
              <w:right w:val="single" w:sz="4" w:space="0" w:color="CCCCCC"/>
            </w:tcBorders>
            <w:shd w:val="clear" w:color="auto" w:fill="1F4E79"/>
            <w:vAlign w:val="center"/>
          </w:tcPr>
          <w:p w14:paraId="4D5F7318" w14:textId="77777777" w:rsidR="00F81FB6" w:rsidRDefault="00571C04">
            <w:pPr>
              <w:spacing w:before="60" w:after="60"/>
              <w:jc w:val="center"/>
            </w:pPr>
            <w:r>
              <w:rPr>
                <w:b/>
                <w:bCs/>
                <w:color w:val="FFFFFF"/>
                <w:sz w:val="20"/>
                <w:szCs w:val="20"/>
              </w:rPr>
              <w:t>Required Actions</w:t>
            </w:r>
          </w:p>
        </w:tc>
        <w:tc>
          <w:tcPr>
            <w:tcW w:w="3360" w:type="dxa"/>
            <w:tcBorders>
              <w:top w:val="single" w:sz="4" w:space="0" w:color="CCCCCC"/>
              <w:left w:val="single" w:sz="4" w:space="0" w:color="CCCCCC"/>
              <w:bottom w:val="single" w:sz="4" w:space="0" w:color="CCCCCC"/>
              <w:right w:val="single" w:sz="4" w:space="0" w:color="CCCCCC"/>
            </w:tcBorders>
            <w:shd w:val="clear" w:color="auto" w:fill="1F4E79"/>
            <w:vAlign w:val="center"/>
          </w:tcPr>
          <w:p w14:paraId="61CF4FA9" w14:textId="77777777" w:rsidR="00F81FB6" w:rsidRDefault="00571C04">
            <w:pPr>
              <w:spacing w:before="60" w:after="60"/>
              <w:jc w:val="center"/>
            </w:pPr>
            <w:r>
              <w:rPr>
                <w:b/>
                <w:bCs/>
                <w:color w:val="FFFFFF"/>
                <w:sz w:val="20"/>
                <w:szCs w:val="20"/>
              </w:rPr>
              <w:t>Contract Enhancements</w:t>
            </w:r>
          </w:p>
        </w:tc>
      </w:tr>
      <w:tr w:rsidR="00F81FB6" w14:paraId="3EB944A9" w14:textId="77777777">
        <w:tblPrEx>
          <w:tblCellMar>
            <w:top w:w="0" w:type="dxa"/>
            <w:bottom w:w="0" w:type="dxa"/>
          </w:tblCellMar>
        </w:tblPrEx>
        <w:tc>
          <w:tcPr>
            <w:tcW w:w="1400" w:type="dxa"/>
            <w:tcBorders>
              <w:top w:val="single" w:sz="4" w:space="0" w:color="CCCCCC"/>
              <w:left w:val="single" w:sz="4" w:space="0" w:color="CCCCCC"/>
              <w:bottom w:val="single" w:sz="4" w:space="0" w:color="CCCCCC"/>
              <w:right w:val="single" w:sz="4" w:space="0" w:color="CCCCCC"/>
            </w:tcBorders>
            <w:shd w:val="clear" w:color="auto" w:fill="E8F5E9"/>
            <w:vAlign w:val="center"/>
          </w:tcPr>
          <w:p w14:paraId="6EDC56E5" w14:textId="77777777" w:rsidR="00F81FB6" w:rsidRDefault="00571C04">
            <w:pPr>
              <w:spacing w:before="60" w:after="60"/>
              <w:jc w:val="center"/>
            </w:pPr>
            <w:r>
              <w:rPr>
                <w:b/>
                <w:bCs/>
                <w:color w:val="1A7432"/>
                <w:sz w:val="19"/>
                <w:szCs w:val="19"/>
              </w:rPr>
              <w:t>●  LOW RISK</w:t>
            </w:r>
          </w:p>
        </w:tc>
        <w:tc>
          <w:tcPr>
            <w:tcW w:w="1600" w:type="dxa"/>
            <w:tcBorders>
              <w:top w:val="single" w:sz="4" w:space="0" w:color="CCCCCC"/>
              <w:left w:val="single" w:sz="4" w:space="0" w:color="CCCCCC"/>
              <w:bottom w:val="single" w:sz="4" w:space="0" w:color="CCCCCC"/>
              <w:right w:val="single" w:sz="4" w:space="0" w:color="CCCCCC"/>
            </w:tcBorders>
            <w:shd w:val="clear" w:color="auto" w:fill="E8F5E9"/>
            <w:vAlign w:val="center"/>
          </w:tcPr>
          <w:p w14:paraId="15FE7F36" w14:textId="77777777" w:rsidR="00F81FB6" w:rsidRDefault="00571C04">
            <w:pPr>
              <w:spacing w:before="60" w:after="60"/>
              <w:jc w:val="center"/>
            </w:pPr>
            <w:r>
              <w:rPr>
                <w:b/>
                <w:bCs/>
                <w:color w:val="1A7432"/>
                <w:sz w:val="19"/>
                <w:szCs w:val="19"/>
              </w:rPr>
              <w:t>Category Manager</w:t>
            </w:r>
          </w:p>
        </w:tc>
        <w:tc>
          <w:tcPr>
            <w:tcW w:w="3000" w:type="dxa"/>
            <w:tcBorders>
              <w:top w:val="single" w:sz="4" w:space="0" w:color="CCCCCC"/>
              <w:left w:val="single" w:sz="4" w:space="0" w:color="CCCCCC"/>
              <w:bottom w:val="single" w:sz="4" w:space="0" w:color="CCCCCC"/>
              <w:right w:val="single" w:sz="4" w:space="0" w:color="CCCCCC"/>
            </w:tcBorders>
            <w:shd w:val="clear" w:color="auto" w:fill="FFFFFF"/>
          </w:tcPr>
          <w:p w14:paraId="5F63035F" w14:textId="77777777" w:rsidR="00F81FB6" w:rsidRDefault="00571C04">
            <w:pPr>
              <w:pStyle w:val="ListParagraph"/>
              <w:numPr>
                <w:ilvl w:val="0"/>
                <w:numId w:val="2"/>
              </w:numPr>
              <w:spacing w:after="30"/>
            </w:pPr>
            <w:r>
              <w:rPr>
                <w:sz w:val="19"/>
                <w:szCs w:val="19"/>
              </w:rPr>
              <w:t>Standard due diligence and reference verification</w:t>
            </w:r>
          </w:p>
          <w:p w14:paraId="74853BA9" w14:textId="77777777" w:rsidR="00F81FB6" w:rsidRDefault="00571C04">
            <w:pPr>
              <w:pStyle w:val="ListParagraph"/>
              <w:numPr>
                <w:ilvl w:val="0"/>
                <w:numId w:val="2"/>
              </w:numPr>
              <w:spacing w:after="30"/>
            </w:pPr>
            <w:r>
              <w:rPr>
                <w:sz w:val="19"/>
                <w:szCs w:val="19"/>
              </w:rPr>
              <w:t>Annual re-evaluation or upon material business changes</w:t>
            </w:r>
          </w:p>
          <w:p w14:paraId="364EAEAB" w14:textId="77777777" w:rsidR="00F81FB6" w:rsidRDefault="00571C04">
            <w:pPr>
              <w:pStyle w:val="ListParagraph"/>
              <w:numPr>
                <w:ilvl w:val="0"/>
                <w:numId w:val="2"/>
              </w:numPr>
              <w:spacing w:after="30"/>
            </w:pPr>
            <w:r>
              <w:rPr>
                <w:sz w:val="19"/>
                <w:szCs w:val="19"/>
              </w:rPr>
              <w:t>Routine KPI monitoring against contracted SLAs</w:t>
            </w:r>
          </w:p>
        </w:tc>
        <w:tc>
          <w:tcPr>
            <w:tcW w:w="3360" w:type="dxa"/>
            <w:tcBorders>
              <w:top w:val="single" w:sz="4" w:space="0" w:color="CCCCCC"/>
              <w:left w:val="single" w:sz="4" w:space="0" w:color="CCCCCC"/>
              <w:bottom w:val="single" w:sz="4" w:space="0" w:color="CCCCCC"/>
              <w:right w:val="single" w:sz="4" w:space="0" w:color="CCCCCC"/>
            </w:tcBorders>
            <w:shd w:val="clear" w:color="auto" w:fill="F2F7FC"/>
          </w:tcPr>
          <w:p w14:paraId="038F9BBC" w14:textId="77777777" w:rsidR="00F81FB6" w:rsidRDefault="00571C04">
            <w:pPr>
              <w:pStyle w:val="ListParagraph"/>
              <w:numPr>
                <w:ilvl w:val="0"/>
                <w:numId w:val="2"/>
              </w:numPr>
              <w:spacing w:after="30"/>
            </w:pPr>
            <w:r>
              <w:rPr>
                <w:sz w:val="19"/>
                <w:szCs w:val="19"/>
              </w:rPr>
              <w:t>Standard MSA or Transportation Service Agreement terms</w:t>
            </w:r>
          </w:p>
          <w:p w14:paraId="375624F5" w14:textId="77777777" w:rsidR="00F81FB6" w:rsidRDefault="00571C04">
            <w:pPr>
              <w:pStyle w:val="ListParagraph"/>
              <w:numPr>
                <w:ilvl w:val="0"/>
                <w:numId w:val="2"/>
              </w:numPr>
              <w:spacing w:after="30"/>
            </w:pPr>
            <w:r>
              <w:rPr>
                <w:sz w:val="19"/>
                <w:szCs w:val="19"/>
              </w:rPr>
              <w:t>Standard cargo and auto liability insurance requirements</w:t>
            </w:r>
          </w:p>
          <w:p w14:paraId="7ED4A48A" w14:textId="77777777" w:rsidR="00F81FB6" w:rsidRDefault="00571C04">
            <w:pPr>
              <w:pStyle w:val="ListParagraph"/>
              <w:numPr>
                <w:ilvl w:val="0"/>
                <w:numId w:val="2"/>
              </w:numPr>
              <w:spacing w:after="30"/>
            </w:pPr>
            <w:r>
              <w:rPr>
                <w:sz w:val="19"/>
                <w:szCs w:val="19"/>
              </w:rPr>
              <w:t>Standard claims resolution terms (30-day resolution target)</w:t>
            </w:r>
          </w:p>
        </w:tc>
      </w:tr>
      <w:tr w:rsidR="00F81FB6" w14:paraId="4EDE0F1C" w14:textId="77777777">
        <w:tblPrEx>
          <w:tblCellMar>
            <w:top w:w="0" w:type="dxa"/>
            <w:bottom w:w="0" w:type="dxa"/>
          </w:tblCellMar>
        </w:tblPrEx>
        <w:tc>
          <w:tcPr>
            <w:tcW w:w="1400" w:type="dxa"/>
            <w:tcBorders>
              <w:top w:val="single" w:sz="4" w:space="0" w:color="CCCCCC"/>
              <w:left w:val="single" w:sz="4" w:space="0" w:color="CCCCCC"/>
              <w:bottom w:val="single" w:sz="4" w:space="0" w:color="CCCCCC"/>
              <w:right w:val="single" w:sz="4" w:space="0" w:color="CCCCCC"/>
            </w:tcBorders>
            <w:shd w:val="clear" w:color="auto" w:fill="FFFDE7"/>
            <w:vAlign w:val="center"/>
          </w:tcPr>
          <w:p w14:paraId="648BCB0E" w14:textId="77777777" w:rsidR="00F81FB6" w:rsidRDefault="00571C04">
            <w:pPr>
              <w:spacing w:before="60" w:after="60"/>
              <w:jc w:val="center"/>
            </w:pPr>
            <w:r>
              <w:rPr>
                <w:b/>
                <w:bCs/>
                <w:color w:val="E65100"/>
                <w:sz w:val="19"/>
                <w:szCs w:val="19"/>
              </w:rPr>
              <w:t>●  MEDIUM RISK</w:t>
            </w:r>
          </w:p>
        </w:tc>
        <w:tc>
          <w:tcPr>
            <w:tcW w:w="1600" w:type="dxa"/>
            <w:tcBorders>
              <w:top w:val="single" w:sz="4" w:space="0" w:color="CCCCCC"/>
              <w:left w:val="single" w:sz="4" w:space="0" w:color="CCCCCC"/>
              <w:bottom w:val="single" w:sz="4" w:space="0" w:color="CCCCCC"/>
              <w:right w:val="single" w:sz="4" w:space="0" w:color="CCCCCC"/>
            </w:tcBorders>
            <w:shd w:val="clear" w:color="auto" w:fill="FFFDE7"/>
            <w:vAlign w:val="center"/>
          </w:tcPr>
          <w:p w14:paraId="61F9B2BF" w14:textId="77777777" w:rsidR="00F81FB6" w:rsidRDefault="00571C04">
            <w:pPr>
              <w:spacing w:before="60" w:after="60"/>
              <w:jc w:val="center"/>
            </w:pPr>
            <w:r>
              <w:rPr>
                <w:b/>
                <w:bCs/>
                <w:color w:val="E65100"/>
                <w:sz w:val="19"/>
                <w:szCs w:val="19"/>
              </w:rPr>
              <w:t>Director Level</w:t>
            </w:r>
          </w:p>
        </w:tc>
        <w:tc>
          <w:tcPr>
            <w:tcW w:w="3000" w:type="dxa"/>
            <w:tcBorders>
              <w:top w:val="single" w:sz="4" w:space="0" w:color="CCCCCC"/>
              <w:left w:val="single" w:sz="4" w:space="0" w:color="CCCCCC"/>
              <w:bottom w:val="single" w:sz="4" w:space="0" w:color="CCCCCC"/>
              <w:right w:val="single" w:sz="4" w:space="0" w:color="CCCCCC"/>
            </w:tcBorders>
            <w:shd w:val="clear" w:color="auto" w:fill="FFFFFF"/>
          </w:tcPr>
          <w:p w14:paraId="434B4159" w14:textId="77777777" w:rsidR="00F81FB6" w:rsidRDefault="00571C04">
            <w:pPr>
              <w:pStyle w:val="ListParagraph"/>
              <w:numPr>
                <w:ilvl w:val="0"/>
                <w:numId w:val="2"/>
              </w:numPr>
              <w:spacing w:after="30"/>
            </w:pPr>
            <w:r>
              <w:rPr>
                <w:sz w:val="19"/>
                <w:szCs w:val="19"/>
              </w:rPr>
              <w:t>Enhanced due diligence; additional reference checks</w:t>
            </w:r>
          </w:p>
          <w:p w14:paraId="3916C5C1" w14:textId="77777777" w:rsidR="00F81FB6" w:rsidRDefault="00571C04">
            <w:pPr>
              <w:pStyle w:val="ListParagraph"/>
              <w:numPr>
                <w:ilvl w:val="0"/>
                <w:numId w:val="2"/>
              </w:numPr>
              <w:spacing w:after="30"/>
            </w:pPr>
            <w:r>
              <w:rPr>
                <w:sz w:val="19"/>
                <w:szCs w:val="19"/>
              </w:rPr>
              <w:t>Quarterly performance reviews with documented outcomes</w:t>
            </w:r>
          </w:p>
          <w:p w14:paraId="39AD4F76" w14:textId="77777777" w:rsidR="00F81FB6" w:rsidRDefault="00571C04">
            <w:pPr>
              <w:pStyle w:val="ListParagraph"/>
              <w:numPr>
                <w:ilvl w:val="0"/>
                <w:numId w:val="2"/>
              </w:numPr>
              <w:spacing w:after="30"/>
            </w:pPr>
            <w:r>
              <w:rPr>
                <w:sz w:val="19"/>
                <w:szCs w:val="19"/>
              </w:rPr>
              <w:t>Cargo insurance certificate verification quarterly</w:t>
            </w:r>
          </w:p>
          <w:p w14:paraId="48CE2D3F" w14:textId="77777777" w:rsidR="00F81FB6" w:rsidRDefault="00571C04">
            <w:pPr>
              <w:pStyle w:val="ListParagraph"/>
              <w:numPr>
                <w:ilvl w:val="0"/>
                <w:numId w:val="2"/>
              </w:numPr>
              <w:spacing w:after="30"/>
            </w:pPr>
            <w:r>
              <w:rPr>
                <w:sz w:val="19"/>
                <w:szCs w:val="19"/>
              </w:rPr>
              <w:t>Dedicated WWRGD account manager required</w:t>
            </w:r>
          </w:p>
        </w:tc>
        <w:tc>
          <w:tcPr>
            <w:tcW w:w="3360" w:type="dxa"/>
            <w:tcBorders>
              <w:top w:val="single" w:sz="4" w:space="0" w:color="CCCCCC"/>
              <w:left w:val="single" w:sz="4" w:space="0" w:color="CCCCCC"/>
              <w:bottom w:val="single" w:sz="4" w:space="0" w:color="CCCCCC"/>
              <w:right w:val="single" w:sz="4" w:space="0" w:color="CCCCCC"/>
            </w:tcBorders>
            <w:shd w:val="clear" w:color="auto" w:fill="F2F7FC"/>
          </w:tcPr>
          <w:p w14:paraId="28AA9963" w14:textId="77777777" w:rsidR="00F81FB6" w:rsidRDefault="00571C04">
            <w:pPr>
              <w:pStyle w:val="ListParagraph"/>
              <w:numPr>
                <w:ilvl w:val="0"/>
                <w:numId w:val="2"/>
              </w:numPr>
              <w:spacing w:after="30"/>
            </w:pPr>
            <w:r>
              <w:rPr>
                <w:sz w:val="19"/>
                <w:szCs w:val="19"/>
              </w:rPr>
              <w:t>Performance bonds or parent company guarantee</w:t>
            </w:r>
          </w:p>
          <w:p w14:paraId="33CB3A17" w14:textId="77777777" w:rsidR="00F81FB6" w:rsidRDefault="00571C04">
            <w:pPr>
              <w:pStyle w:val="ListParagraph"/>
              <w:numPr>
                <w:ilvl w:val="0"/>
                <w:numId w:val="2"/>
              </w:numPr>
              <w:spacing w:after="30"/>
            </w:pPr>
            <w:r>
              <w:rPr>
                <w:sz w:val="19"/>
                <w:szCs w:val="19"/>
              </w:rPr>
              <w:t>SLA penalti</w:t>
            </w:r>
            <w:r>
              <w:rPr>
                <w:sz w:val="19"/>
                <w:szCs w:val="19"/>
              </w:rPr>
              <w:t>es with meaningful financial consequences (2-5% invoice deductions)</w:t>
            </w:r>
          </w:p>
          <w:p w14:paraId="16805701" w14:textId="77777777" w:rsidR="00F81FB6" w:rsidRDefault="00571C04">
            <w:pPr>
              <w:pStyle w:val="ListParagraph"/>
              <w:numPr>
                <w:ilvl w:val="0"/>
                <w:numId w:val="2"/>
              </w:numPr>
              <w:spacing w:after="30"/>
            </w:pPr>
            <w:r>
              <w:rPr>
                <w:sz w:val="19"/>
                <w:szCs w:val="19"/>
              </w:rPr>
              <w:t>Increased cargo/liability insurance requirements above standard</w:t>
            </w:r>
          </w:p>
          <w:p w14:paraId="54968240" w14:textId="77777777" w:rsidR="00F81FB6" w:rsidRDefault="00571C04">
            <w:pPr>
              <w:pStyle w:val="ListParagraph"/>
              <w:numPr>
                <w:ilvl w:val="0"/>
                <w:numId w:val="2"/>
              </w:numPr>
              <w:spacing w:after="30"/>
            </w:pPr>
            <w:r>
              <w:rPr>
                <w:sz w:val="19"/>
                <w:szCs w:val="19"/>
              </w:rPr>
              <w:t>Right to audit clause with 30-day notice</w:t>
            </w:r>
          </w:p>
          <w:p w14:paraId="2D0FB6A1" w14:textId="77777777" w:rsidR="00F81FB6" w:rsidRDefault="00571C04">
            <w:pPr>
              <w:pStyle w:val="ListParagraph"/>
              <w:numPr>
                <w:ilvl w:val="0"/>
                <w:numId w:val="2"/>
              </w:numPr>
              <w:spacing w:after="30"/>
            </w:pPr>
            <w:r>
              <w:rPr>
                <w:sz w:val="19"/>
                <w:szCs w:val="19"/>
              </w:rPr>
              <w:t>Improvement plan requirement if KPIs fall below thresholds</w:t>
            </w:r>
          </w:p>
        </w:tc>
      </w:tr>
      <w:tr w:rsidR="00F81FB6" w14:paraId="73BC16B2" w14:textId="77777777">
        <w:tblPrEx>
          <w:tblCellMar>
            <w:top w:w="0" w:type="dxa"/>
            <w:bottom w:w="0" w:type="dxa"/>
          </w:tblCellMar>
        </w:tblPrEx>
        <w:tc>
          <w:tcPr>
            <w:tcW w:w="1400" w:type="dxa"/>
            <w:tcBorders>
              <w:top w:val="single" w:sz="4" w:space="0" w:color="CCCCCC"/>
              <w:left w:val="single" w:sz="4" w:space="0" w:color="CCCCCC"/>
              <w:bottom w:val="single" w:sz="4" w:space="0" w:color="CCCCCC"/>
              <w:right w:val="single" w:sz="4" w:space="0" w:color="CCCCCC"/>
            </w:tcBorders>
            <w:shd w:val="clear" w:color="auto" w:fill="FFF3E0"/>
            <w:vAlign w:val="center"/>
          </w:tcPr>
          <w:p w14:paraId="37F69018" w14:textId="77777777" w:rsidR="00F81FB6" w:rsidRDefault="00571C04">
            <w:pPr>
              <w:spacing w:before="60" w:after="60"/>
              <w:jc w:val="center"/>
            </w:pPr>
            <w:r>
              <w:rPr>
                <w:b/>
                <w:bCs/>
                <w:color w:val="BF360C"/>
                <w:sz w:val="19"/>
                <w:szCs w:val="19"/>
              </w:rPr>
              <w:t>●  HIGH RISK</w:t>
            </w:r>
          </w:p>
        </w:tc>
        <w:tc>
          <w:tcPr>
            <w:tcW w:w="1600" w:type="dxa"/>
            <w:tcBorders>
              <w:top w:val="single" w:sz="4" w:space="0" w:color="CCCCCC"/>
              <w:left w:val="single" w:sz="4" w:space="0" w:color="CCCCCC"/>
              <w:bottom w:val="single" w:sz="4" w:space="0" w:color="CCCCCC"/>
              <w:right w:val="single" w:sz="4" w:space="0" w:color="CCCCCC"/>
            </w:tcBorders>
            <w:shd w:val="clear" w:color="auto" w:fill="FFF3E0"/>
            <w:vAlign w:val="center"/>
          </w:tcPr>
          <w:p w14:paraId="0902CA47" w14:textId="77777777" w:rsidR="00F81FB6" w:rsidRDefault="00571C04">
            <w:pPr>
              <w:spacing w:before="60" w:after="60"/>
              <w:jc w:val="center"/>
            </w:pPr>
            <w:r>
              <w:rPr>
                <w:b/>
                <w:bCs/>
                <w:color w:val="BF360C"/>
                <w:sz w:val="19"/>
                <w:szCs w:val="19"/>
              </w:rPr>
              <w:t>VP / Executive</w:t>
            </w:r>
          </w:p>
        </w:tc>
        <w:tc>
          <w:tcPr>
            <w:tcW w:w="3000" w:type="dxa"/>
            <w:tcBorders>
              <w:top w:val="single" w:sz="4" w:space="0" w:color="CCCCCC"/>
              <w:left w:val="single" w:sz="4" w:space="0" w:color="CCCCCC"/>
              <w:bottom w:val="single" w:sz="4" w:space="0" w:color="CCCCCC"/>
              <w:right w:val="single" w:sz="4" w:space="0" w:color="CCCCCC"/>
            </w:tcBorders>
            <w:shd w:val="clear" w:color="auto" w:fill="FFFFFF"/>
          </w:tcPr>
          <w:p w14:paraId="4B16CC4D" w14:textId="77777777" w:rsidR="00F81FB6" w:rsidRDefault="00571C04">
            <w:pPr>
              <w:pStyle w:val="ListParagraph"/>
              <w:numPr>
                <w:ilvl w:val="0"/>
                <w:numId w:val="2"/>
              </w:numPr>
              <w:spacing w:after="30"/>
            </w:pPr>
            <w:r>
              <w:rPr>
                <w:sz w:val="19"/>
                <w:szCs w:val="19"/>
              </w:rPr>
              <w:t>Weekly performance reporting to WWRGD oversight team</w:t>
            </w:r>
          </w:p>
          <w:p w14:paraId="44A87CE4" w14:textId="77777777" w:rsidR="00F81FB6" w:rsidRDefault="00571C04">
            <w:pPr>
              <w:pStyle w:val="ListParagraph"/>
              <w:numPr>
                <w:ilvl w:val="0"/>
                <w:numId w:val="2"/>
              </w:numPr>
              <w:spacing w:after="30"/>
            </w:pPr>
            <w:r>
              <w:rPr>
                <w:sz w:val="19"/>
                <w:szCs w:val="19"/>
              </w:rPr>
              <w:t>Dedicated WWRGD logistics oversight resource assigned</w:t>
            </w:r>
          </w:p>
          <w:p w14:paraId="0ECC0548" w14:textId="77777777" w:rsidR="00F81FB6" w:rsidRDefault="00571C04">
            <w:pPr>
              <w:pStyle w:val="ListParagraph"/>
              <w:numPr>
                <w:ilvl w:val="0"/>
                <w:numId w:val="2"/>
              </w:numPr>
              <w:spacing w:after="30"/>
            </w:pPr>
            <w:r>
              <w:rPr>
                <w:sz w:val="19"/>
                <w:szCs w:val="19"/>
              </w:rPr>
              <w:t>Monthly FMCSA/DOT compliance score verification</w:t>
            </w:r>
          </w:p>
          <w:p w14:paraId="43F35573" w14:textId="77777777" w:rsidR="00F81FB6" w:rsidRDefault="00571C04">
            <w:pPr>
              <w:pStyle w:val="ListParagraph"/>
              <w:numPr>
                <w:ilvl w:val="0"/>
                <w:numId w:val="2"/>
              </w:numPr>
              <w:spacing w:after="30"/>
            </w:pPr>
            <w:r>
              <w:rPr>
                <w:sz w:val="19"/>
                <w:szCs w:val="19"/>
              </w:rPr>
              <w:t>Mandatory Safety Improvement Plan with 90-day milestones</w:t>
            </w:r>
          </w:p>
          <w:p w14:paraId="692202C1" w14:textId="77777777" w:rsidR="00F81FB6" w:rsidRDefault="00571C04">
            <w:pPr>
              <w:pStyle w:val="ListParagraph"/>
              <w:numPr>
                <w:ilvl w:val="0"/>
                <w:numId w:val="2"/>
              </w:numPr>
              <w:spacing w:after="30"/>
            </w:pPr>
            <w:r>
              <w:rPr>
                <w:sz w:val="19"/>
                <w:szCs w:val="19"/>
              </w:rPr>
              <w:t>Reduced lane or scope assignment until improvement demonstrated</w:t>
            </w:r>
          </w:p>
        </w:tc>
        <w:tc>
          <w:tcPr>
            <w:tcW w:w="3360" w:type="dxa"/>
            <w:tcBorders>
              <w:top w:val="single" w:sz="4" w:space="0" w:color="CCCCCC"/>
              <w:left w:val="single" w:sz="4" w:space="0" w:color="CCCCCC"/>
              <w:bottom w:val="single" w:sz="4" w:space="0" w:color="CCCCCC"/>
              <w:right w:val="single" w:sz="4" w:space="0" w:color="CCCCCC"/>
            </w:tcBorders>
            <w:shd w:val="clear" w:color="auto" w:fill="F2F7FC"/>
          </w:tcPr>
          <w:p w14:paraId="58D0881E" w14:textId="77777777" w:rsidR="00F81FB6" w:rsidRDefault="00571C04">
            <w:pPr>
              <w:pStyle w:val="ListParagraph"/>
              <w:numPr>
                <w:ilvl w:val="0"/>
                <w:numId w:val="2"/>
              </w:numPr>
              <w:spacing w:after="30"/>
            </w:pPr>
            <w:r>
              <w:rPr>
                <w:sz w:val="19"/>
                <w:szCs w:val="19"/>
              </w:rPr>
              <w:t>Milestone-based payment structures tied to performance targets</w:t>
            </w:r>
          </w:p>
          <w:p w14:paraId="5302D737" w14:textId="77777777" w:rsidR="00F81FB6" w:rsidRDefault="00571C04">
            <w:pPr>
              <w:pStyle w:val="ListParagraph"/>
              <w:numPr>
                <w:ilvl w:val="0"/>
                <w:numId w:val="2"/>
              </w:numPr>
              <w:spacing w:after="30"/>
            </w:pPr>
            <w:r>
              <w:rPr>
                <w:sz w:val="19"/>
                <w:szCs w:val="19"/>
              </w:rPr>
              <w:t>Increased retainage (5–10%) released upon sustained performance</w:t>
            </w:r>
          </w:p>
          <w:p w14:paraId="2F073D89" w14:textId="77777777" w:rsidR="00F81FB6" w:rsidRDefault="00571C04">
            <w:pPr>
              <w:pStyle w:val="ListParagraph"/>
              <w:numPr>
                <w:ilvl w:val="0"/>
                <w:numId w:val="2"/>
              </w:numPr>
              <w:spacing w:after="30"/>
            </w:pPr>
            <w:r>
              <w:rPr>
                <w:sz w:val="19"/>
                <w:szCs w:val="19"/>
              </w:rPr>
              <w:t>Reduced contract term (6–12 months) with renewal tied to improvement</w:t>
            </w:r>
          </w:p>
          <w:p w14:paraId="43D08178" w14:textId="77777777" w:rsidR="00F81FB6" w:rsidRDefault="00571C04">
            <w:pPr>
              <w:pStyle w:val="ListParagraph"/>
              <w:numPr>
                <w:ilvl w:val="0"/>
                <w:numId w:val="2"/>
              </w:numPr>
              <w:spacing w:after="30"/>
            </w:pPr>
            <w:r>
              <w:rPr>
                <w:sz w:val="19"/>
                <w:szCs w:val="19"/>
              </w:rPr>
              <w:t>Termination for Convenience clause with reduced notice period (30 days)</w:t>
            </w:r>
          </w:p>
          <w:p w14:paraId="3103A41F" w14:textId="77777777" w:rsidR="00F81FB6" w:rsidRDefault="00571C04">
            <w:pPr>
              <w:pStyle w:val="ListParagraph"/>
              <w:numPr>
                <w:ilvl w:val="0"/>
                <w:numId w:val="2"/>
              </w:numPr>
              <w:spacing w:after="30"/>
            </w:pPr>
            <w:r>
              <w:rPr>
                <w:sz w:val="19"/>
                <w:szCs w:val="19"/>
              </w:rPr>
              <w:t>Mandatory cargo insurance coverage enhancement</w:t>
            </w:r>
          </w:p>
        </w:tc>
      </w:tr>
      <w:tr w:rsidR="00F81FB6" w14:paraId="4650FD1E" w14:textId="77777777">
        <w:tblPrEx>
          <w:tblCellMar>
            <w:top w:w="0" w:type="dxa"/>
            <w:bottom w:w="0" w:type="dxa"/>
          </w:tblCellMar>
        </w:tblPrEx>
        <w:tc>
          <w:tcPr>
            <w:tcW w:w="1400" w:type="dxa"/>
            <w:tcBorders>
              <w:top w:val="single" w:sz="4" w:space="0" w:color="CCCCCC"/>
              <w:left w:val="single" w:sz="4" w:space="0" w:color="CCCCCC"/>
              <w:bottom w:val="single" w:sz="4" w:space="0" w:color="CCCCCC"/>
              <w:right w:val="single" w:sz="4" w:space="0" w:color="CCCCCC"/>
            </w:tcBorders>
            <w:shd w:val="clear" w:color="auto" w:fill="FFEBEE"/>
            <w:vAlign w:val="center"/>
          </w:tcPr>
          <w:p w14:paraId="11BF97EA" w14:textId="77777777" w:rsidR="00F81FB6" w:rsidRDefault="00571C04">
            <w:pPr>
              <w:spacing w:before="60" w:after="60"/>
              <w:jc w:val="center"/>
            </w:pPr>
            <w:r>
              <w:rPr>
                <w:b/>
                <w:bCs/>
                <w:color w:val="C00000"/>
                <w:sz w:val="19"/>
                <w:szCs w:val="19"/>
              </w:rPr>
              <w:t>●  CRITICAL RISK</w:t>
            </w:r>
          </w:p>
        </w:tc>
        <w:tc>
          <w:tcPr>
            <w:tcW w:w="1600" w:type="dxa"/>
            <w:tcBorders>
              <w:top w:val="single" w:sz="4" w:space="0" w:color="CCCCCC"/>
              <w:left w:val="single" w:sz="4" w:space="0" w:color="CCCCCC"/>
              <w:bottom w:val="single" w:sz="4" w:space="0" w:color="CCCCCC"/>
              <w:right w:val="single" w:sz="4" w:space="0" w:color="CCCCCC"/>
            </w:tcBorders>
            <w:shd w:val="clear" w:color="auto" w:fill="FFEBEE"/>
            <w:vAlign w:val="center"/>
          </w:tcPr>
          <w:p w14:paraId="7E339930" w14:textId="77777777" w:rsidR="00F81FB6" w:rsidRDefault="00571C04">
            <w:pPr>
              <w:spacing w:before="60" w:after="60"/>
              <w:jc w:val="center"/>
            </w:pPr>
            <w:r>
              <w:rPr>
                <w:b/>
                <w:bCs/>
                <w:color w:val="C00000"/>
                <w:sz w:val="19"/>
                <w:szCs w:val="19"/>
              </w:rPr>
              <w:t>Disqualify</w:t>
            </w:r>
          </w:p>
        </w:tc>
        <w:tc>
          <w:tcPr>
            <w:tcW w:w="3000" w:type="dxa"/>
            <w:tcBorders>
              <w:top w:val="single" w:sz="4" w:space="0" w:color="CCCCCC"/>
              <w:left w:val="single" w:sz="4" w:space="0" w:color="CCCCCC"/>
              <w:bottom w:val="single" w:sz="4" w:space="0" w:color="CCCCCC"/>
              <w:right w:val="single" w:sz="4" w:space="0" w:color="CCCCCC"/>
            </w:tcBorders>
            <w:shd w:val="clear" w:color="auto" w:fill="FFFFFF"/>
          </w:tcPr>
          <w:p w14:paraId="1C88B496" w14:textId="77777777" w:rsidR="00F81FB6" w:rsidRDefault="00571C04">
            <w:pPr>
              <w:pStyle w:val="ListParagraph"/>
              <w:numPr>
                <w:ilvl w:val="0"/>
                <w:numId w:val="2"/>
              </w:numPr>
              <w:spacing w:after="30"/>
            </w:pPr>
            <w:r>
              <w:rPr>
                <w:sz w:val="19"/>
                <w:szCs w:val="19"/>
              </w:rPr>
              <w:t>Issue formal rejection notification let</w:t>
            </w:r>
            <w:r>
              <w:rPr>
                <w:sz w:val="19"/>
                <w:szCs w:val="19"/>
              </w:rPr>
              <w:t>ter to vendor</w:t>
            </w:r>
          </w:p>
          <w:p w14:paraId="43849291" w14:textId="77777777" w:rsidR="00F81FB6" w:rsidRDefault="00571C04">
            <w:pPr>
              <w:pStyle w:val="ListParagraph"/>
              <w:numPr>
                <w:ilvl w:val="0"/>
                <w:numId w:val="2"/>
              </w:numPr>
              <w:spacing w:after="30"/>
            </w:pPr>
            <w:r>
              <w:rPr>
                <w:sz w:val="19"/>
                <w:szCs w:val="19"/>
              </w:rPr>
              <w:t>Document specific disqualification reasons in procurement records</w:t>
            </w:r>
          </w:p>
          <w:p w14:paraId="4FF7A7BB" w14:textId="77777777" w:rsidR="00F81FB6" w:rsidRDefault="00571C04">
            <w:pPr>
              <w:pStyle w:val="ListParagraph"/>
              <w:numPr>
                <w:ilvl w:val="0"/>
                <w:numId w:val="2"/>
              </w:numPr>
              <w:spacing w:after="30"/>
            </w:pPr>
            <w:r>
              <w:rPr>
                <w:sz w:val="19"/>
                <w:szCs w:val="19"/>
              </w:rPr>
              <w:t>Enforce 12-month waiting period before re-application is accepted</w:t>
            </w:r>
          </w:p>
          <w:p w14:paraId="6AEA8FB7" w14:textId="77777777" w:rsidR="00F81FB6" w:rsidRDefault="00571C04">
            <w:pPr>
              <w:pStyle w:val="ListParagraph"/>
              <w:numPr>
                <w:ilvl w:val="0"/>
                <w:numId w:val="2"/>
              </w:numPr>
              <w:spacing w:after="30"/>
            </w:pPr>
            <w:r>
              <w:rPr>
                <w:sz w:val="19"/>
                <w:szCs w:val="19"/>
              </w:rPr>
              <w:t>Escalate to VP/Executive for awareness and sign-off on rejection</w:t>
            </w:r>
          </w:p>
        </w:tc>
        <w:tc>
          <w:tcPr>
            <w:tcW w:w="3360" w:type="dxa"/>
            <w:tcBorders>
              <w:top w:val="single" w:sz="4" w:space="0" w:color="CCCCCC"/>
              <w:left w:val="single" w:sz="4" w:space="0" w:color="CCCCCC"/>
              <w:bottom w:val="single" w:sz="4" w:space="0" w:color="CCCCCC"/>
              <w:right w:val="single" w:sz="4" w:space="0" w:color="CCCCCC"/>
            </w:tcBorders>
            <w:shd w:val="clear" w:color="auto" w:fill="F2F7FC"/>
          </w:tcPr>
          <w:p w14:paraId="43985711" w14:textId="77777777" w:rsidR="00F81FB6" w:rsidRDefault="00571C04">
            <w:pPr>
              <w:pStyle w:val="ListParagraph"/>
              <w:numPr>
                <w:ilvl w:val="0"/>
                <w:numId w:val="2"/>
              </w:numPr>
              <w:spacing w:after="30"/>
            </w:pPr>
            <w:r>
              <w:rPr>
                <w:sz w:val="19"/>
                <w:szCs w:val="19"/>
              </w:rPr>
              <w:t>N/A — No contract engagement permitted</w:t>
            </w:r>
          </w:p>
        </w:tc>
      </w:tr>
    </w:tbl>
    <w:p w14:paraId="2C0B4EDA" w14:textId="77777777" w:rsidR="00F81FB6" w:rsidRDefault="00F81FB6">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81FB6" w14:paraId="49B2FFC7"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4E79"/>
          </w:tcPr>
          <w:p w14:paraId="48DCCAB3" w14:textId="77777777" w:rsidR="00F81FB6" w:rsidRDefault="00571C04">
            <w:pPr>
              <w:pStyle w:val="SectionHeader"/>
              <w:spacing w:before="120" w:after="40"/>
              <w:ind w:left="160"/>
            </w:pPr>
            <w:r>
              <w:t>SECTION G</w:t>
            </w:r>
          </w:p>
          <w:p w14:paraId="59591622" w14:textId="77777777" w:rsidR="00F81FB6" w:rsidRDefault="00571C04">
            <w:pPr>
              <w:spacing w:after="120"/>
              <w:ind w:left="160"/>
            </w:pPr>
            <w:r>
              <w:rPr>
                <w:i/>
                <w:iCs/>
                <w:color w:val="BDD7EE"/>
                <w:sz w:val="19"/>
                <w:szCs w:val="19"/>
              </w:rPr>
              <w:t>Logistics-Specific Evaluation Guidance</w:t>
            </w:r>
          </w:p>
        </w:tc>
      </w:tr>
    </w:tbl>
    <w:p w14:paraId="730B3E92" w14:textId="77777777" w:rsidR="00F81FB6" w:rsidRDefault="00F81FB6">
      <w:pPr>
        <w:spacing w:after="120"/>
      </w:pPr>
    </w:p>
    <w:p w14:paraId="116C599C" w14:textId="77777777" w:rsidR="00F81FB6" w:rsidRDefault="00571C04">
      <w:pPr>
        <w:pStyle w:val="BodyText"/>
      </w:pPr>
      <w:r>
        <w:t>This section provides category-specific guidance for evaluators assessing different types of logistics and supply chain vendors. Apply the relevant subsection(s) based on the vendor's primary service category. Multiple subsections may apply to vendors offe</w:t>
      </w:r>
      <w:r>
        <w:t>ring integrated services.</w:t>
      </w:r>
    </w:p>
    <w:p w14:paraId="04B65ED0" w14:textId="77777777" w:rsidR="00F81FB6" w:rsidRDefault="00F81FB6"/>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81FB6" w14:paraId="741314CC"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4E79"/>
          </w:tcPr>
          <w:p w14:paraId="635FFA52" w14:textId="77777777" w:rsidR="00F81FB6" w:rsidRDefault="00571C04">
            <w:pPr>
              <w:spacing w:before="100"/>
              <w:ind w:left="160"/>
            </w:pPr>
            <w:r>
              <w:rPr>
                <w:b/>
                <w:bCs/>
                <w:color w:val="FFFFFF"/>
              </w:rPr>
              <w:t>G.1  FTL / LTL Carriers</w:t>
            </w:r>
          </w:p>
        </w:tc>
      </w:tr>
    </w:tbl>
    <w:p w14:paraId="1B11BD5D" w14:textId="77777777" w:rsidR="00F81FB6" w:rsidRDefault="00F81FB6">
      <w:pPr>
        <w:spacing w:after="80"/>
      </w:pPr>
    </w:p>
    <w:p w14:paraId="129A57F4" w14:textId="77777777" w:rsidR="00F81FB6" w:rsidRDefault="00571C04">
      <w:pPr>
        <w:pStyle w:val="ListParagraph"/>
        <w:numPr>
          <w:ilvl w:val="0"/>
          <w:numId w:val="2"/>
        </w:numPr>
        <w:spacing w:after="40"/>
      </w:pPr>
      <w:r>
        <w:rPr>
          <w:sz w:val="20"/>
          <w:szCs w:val="20"/>
        </w:rPr>
        <w:t>Prioritize FMCSA SMS BASICs scores and DOT safety compliance rating — these are the primary federal safety indicators for carriers and should anchor Safety Performance scoring.</w:t>
      </w:r>
    </w:p>
    <w:p w14:paraId="462CE3D6" w14:textId="77777777" w:rsidR="00F81FB6" w:rsidRDefault="00571C04">
      <w:pPr>
        <w:pStyle w:val="ListParagraph"/>
        <w:numPr>
          <w:ilvl w:val="0"/>
          <w:numId w:val="2"/>
        </w:numPr>
        <w:spacing w:after="40"/>
      </w:pPr>
      <w:r>
        <w:rPr>
          <w:sz w:val="20"/>
          <w:szCs w:val="20"/>
        </w:rPr>
        <w:t>Evaluate lane-specific on-</w:t>
      </w:r>
      <w:r>
        <w:rPr>
          <w:sz w:val="20"/>
          <w:szCs w:val="20"/>
        </w:rPr>
        <w:t>time delivery performance, not just aggregate network averages. Request performance data for lanes comparable to WWRGD's requirements.</w:t>
      </w:r>
    </w:p>
    <w:p w14:paraId="432D6B6C" w14:textId="77777777" w:rsidR="00F81FB6" w:rsidRDefault="00571C04">
      <w:pPr>
        <w:pStyle w:val="ListParagraph"/>
        <w:numPr>
          <w:ilvl w:val="0"/>
          <w:numId w:val="2"/>
        </w:numPr>
        <w:spacing w:after="40"/>
      </w:pPr>
      <w:r>
        <w:rPr>
          <w:sz w:val="20"/>
          <w:szCs w:val="20"/>
        </w:rPr>
        <w:t xml:space="preserve">Assess driver turnover rate as a key operational risk indicator. Turnover &gt;100% signals chronic capacity instability and </w:t>
      </w:r>
      <w:r>
        <w:rPr>
          <w:sz w:val="20"/>
          <w:szCs w:val="20"/>
        </w:rPr>
        <w:t>driver shortage risk.</w:t>
      </w:r>
    </w:p>
    <w:p w14:paraId="407EF08A" w14:textId="77777777" w:rsidR="00F81FB6" w:rsidRDefault="00571C04">
      <w:pPr>
        <w:pStyle w:val="ListParagraph"/>
        <w:numPr>
          <w:ilvl w:val="0"/>
          <w:numId w:val="2"/>
        </w:numPr>
        <w:spacing w:after="40"/>
      </w:pPr>
      <w:r>
        <w:rPr>
          <w:sz w:val="20"/>
          <w:szCs w:val="20"/>
        </w:rPr>
        <w:t>Verify cargo insurance coverage specifically covers the commodity types and shipment values in scope for WWRGD engagements. Minimum recommended: $250,000 per occurrence.</w:t>
      </w:r>
    </w:p>
    <w:p w14:paraId="60DEC3F5" w14:textId="77777777" w:rsidR="00F81FB6" w:rsidRDefault="00571C04">
      <w:pPr>
        <w:pStyle w:val="ListParagraph"/>
        <w:numPr>
          <w:ilvl w:val="0"/>
          <w:numId w:val="2"/>
        </w:numPr>
        <w:spacing w:after="40"/>
      </w:pPr>
      <w:r>
        <w:rPr>
          <w:sz w:val="20"/>
          <w:szCs w:val="20"/>
        </w:rPr>
        <w:t>Review fuel surcharge methodology for cost predictability. Under</w:t>
      </w:r>
      <w:r>
        <w:rPr>
          <w:sz w:val="20"/>
          <w:szCs w:val="20"/>
        </w:rPr>
        <w:t>stand how fuel surcharges are calculated and whether cap/floor provisions are available.</w:t>
      </w:r>
    </w:p>
    <w:p w14:paraId="5D10886F" w14:textId="77777777" w:rsidR="00F81FB6" w:rsidRDefault="00571C04">
      <w:pPr>
        <w:pStyle w:val="ListParagraph"/>
        <w:numPr>
          <w:ilvl w:val="0"/>
          <w:numId w:val="2"/>
        </w:numPr>
        <w:spacing w:after="40"/>
      </w:pPr>
      <w:r>
        <w:rPr>
          <w:sz w:val="20"/>
          <w:szCs w:val="20"/>
        </w:rPr>
        <w:t>Confirm Electronic Logging Device (ELD) compliance and Hours of Service (HOS) program. Manual log books are non-compliant and a red flag.</w:t>
      </w:r>
    </w:p>
    <w:p w14:paraId="5E4F02E2" w14:textId="77777777" w:rsidR="00F81FB6" w:rsidRDefault="00571C04">
      <w:pPr>
        <w:pStyle w:val="ListParagraph"/>
        <w:numPr>
          <w:ilvl w:val="0"/>
          <w:numId w:val="2"/>
        </w:numPr>
        <w:spacing w:after="40"/>
      </w:pPr>
      <w:r>
        <w:rPr>
          <w:sz w:val="20"/>
          <w:szCs w:val="20"/>
        </w:rPr>
        <w:t>For temperature-sensitive com</w:t>
      </w:r>
      <w:r>
        <w:rPr>
          <w:sz w:val="20"/>
          <w:szCs w:val="20"/>
        </w:rPr>
        <w:t>modities, verify reefer unit age, temperature pre-cool protocols, and continuous temperature monitoring capabilities.</w:t>
      </w:r>
    </w:p>
    <w:p w14:paraId="182E7BE9" w14:textId="77777777" w:rsidR="00F81FB6" w:rsidRDefault="00F81FB6"/>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81FB6" w14:paraId="1ECEF38F"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2E6BA8"/>
          </w:tcPr>
          <w:p w14:paraId="4A544B06" w14:textId="77777777" w:rsidR="00F81FB6" w:rsidRDefault="00571C04">
            <w:pPr>
              <w:spacing w:before="100"/>
              <w:ind w:left="160"/>
            </w:pPr>
            <w:r>
              <w:rPr>
                <w:b/>
                <w:bCs/>
                <w:color w:val="FFFFFF"/>
              </w:rPr>
              <w:t>G.2  Last-Mile Delivery Providers</w:t>
            </w:r>
          </w:p>
        </w:tc>
      </w:tr>
    </w:tbl>
    <w:p w14:paraId="04626847" w14:textId="77777777" w:rsidR="00F81FB6" w:rsidRDefault="00F81FB6">
      <w:pPr>
        <w:spacing w:after="80"/>
      </w:pPr>
    </w:p>
    <w:p w14:paraId="4E472F87" w14:textId="77777777" w:rsidR="00F81FB6" w:rsidRDefault="00571C04">
      <w:pPr>
        <w:pStyle w:val="ListParagraph"/>
        <w:numPr>
          <w:ilvl w:val="0"/>
          <w:numId w:val="2"/>
        </w:numPr>
        <w:spacing w:after="40"/>
      </w:pPr>
      <w:r>
        <w:rPr>
          <w:sz w:val="20"/>
          <w:szCs w:val="20"/>
        </w:rPr>
        <w:t>Focus on delivery success rate (first-attempt delivery) and customer satisfaction (CSAT/NPS) scores — these are the primary quality indicators for last-mile operations.</w:t>
      </w:r>
    </w:p>
    <w:p w14:paraId="1BF72FAD" w14:textId="77777777" w:rsidR="00F81FB6" w:rsidRDefault="00571C04">
      <w:pPr>
        <w:pStyle w:val="ListParagraph"/>
        <w:numPr>
          <w:ilvl w:val="0"/>
          <w:numId w:val="2"/>
        </w:numPr>
        <w:spacing w:after="40"/>
      </w:pPr>
      <w:r>
        <w:rPr>
          <w:sz w:val="20"/>
          <w:szCs w:val="20"/>
        </w:rPr>
        <w:t>Evaluate Proof of Delivery technology: ePOD with photo capture, electronic signature, b</w:t>
      </w:r>
      <w:r>
        <w:rPr>
          <w:sz w:val="20"/>
          <w:szCs w:val="20"/>
        </w:rPr>
        <w:t>arcode scan, and GPS geo-stamp at delivery are essential for WWRGD parcel and retail delivery use cases.</w:t>
      </w:r>
    </w:p>
    <w:p w14:paraId="74ECCD52" w14:textId="77777777" w:rsidR="00F81FB6" w:rsidRDefault="00571C04">
      <w:pPr>
        <w:pStyle w:val="ListParagraph"/>
        <w:numPr>
          <w:ilvl w:val="0"/>
          <w:numId w:val="2"/>
        </w:numPr>
        <w:spacing w:after="40"/>
      </w:pPr>
      <w:r>
        <w:rPr>
          <w:sz w:val="20"/>
          <w:szCs w:val="20"/>
        </w:rPr>
        <w:t xml:space="preserve">Assess seasonal scalability for peak periods (Q4, Prime Day, holiday surge). Request documentation of how volume surges were managed and what capacity </w:t>
      </w:r>
      <w:r>
        <w:rPr>
          <w:sz w:val="20"/>
          <w:szCs w:val="20"/>
        </w:rPr>
        <w:t>was deployed.</w:t>
      </w:r>
    </w:p>
    <w:p w14:paraId="3B8DBBF3" w14:textId="77777777" w:rsidR="00F81FB6" w:rsidRDefault="00571C04">
      <w:pPr>
        <w:pStyle w:val="ListParagraph"/>
        <w:numPr>
          <w:ilvl w:val="0"/>
          <w:numId w:val="2"/>
        </w:numPr>
        <w:spacing w:after="40"/>
      </w:pPr>
      <w:r>
        <w:rPr>
          <w:sz w:val="20"/>
          <w:szCs w:val="20"/>
        </w:rPr>
        <w:t>Review driver background check and qualification programs. For DSPs (Delivery Service Providers), confirm their driver hiring and onboarding standards meet or exceed WWRGD requirements.</w:t>
      </w:r>
    </w:p>
    <w:p w14:paraId="4770282D" w14:textId="77777777" w:rsidR="00F81FB6" w:rsidRDefault="00571C04">
      <w:pPr>
        <w:pStyle w:val="ListParagraph"/>
        <w:numPr>
          <w:ilvl w:val="0"/>
          <w:numId w:val="2"/>
        </w:numPr>
        <w:spacing w:after="40"/>
      </w:pPr>
      <w:r>
        <w:rPr>
          <w:sz w:val="20"/>
          <w:szCs w:val="20"/>
        </w:rPr>
        <w:t>Verify residential and commercial delivery capabilities, including apa</w:t>
      </w:r>
      <w:r>
        <w:rPr>
          <w:sz w:val="20"/>
          <w:szCs w:val="20"/>
        </w:rPr>
        <w:t>rtment/multi-tenant access, signature required handling, and age-verification capabilities for regulated products.</w:t>
      </w:r>
    </w:p>
    <w:p w14:paraId="34C22A74" w14:textId="77777777" w:rsidR="00F81FB6" w:rsidRDefault="00571C04">
      <w:pPr>
        <w:pStyle w:val="ListParagraph"/>
        <w:numPr>
          <w:ilvl w:val="0"/>
          <w:numId w:val="2"/>
        </w:numPr>
        <w:spacing w:after="40"/>
      </w:pPr>
      <w:r>
        <w:rPr>
          <w:sz w:val="20"/>
          <w:szCs w:val="20"/>
        </w:rPr>
        <w:t>Evaluate route density and coverage maps against WWRGD last-mile delivery requirements by geography.</w:t>
      </w:r>
    </w:p>
    <w:p w14:paraId="17E37165" w14:textId="77777777" w:rsidR="00F81FB6" w:rsidRDefault="00571C04">
      <w:pPr>
        <w:pStyle w:val="ListParagraph"/>
        <w:numPr>
          <w:ilvl w:val="0"/>
          <w:numId w:val="2"/>
        </w:numPr>
        <w:spacing w:after="40"/>
      </w:pPr>
      <w:r>
        <w:rPr>
          <w:sz w:val="20"/>
          <w:szCs w:val="20"/>
        </w:rPr>
        <w:t>For grocery/fresh delivery: confirm cold</w:t>
      </w:r>
      <w:r>
        <w:rPr>
          <w:sz w:val="20"/>
          <w:szCs w:val="20"/>
        </w:rPr>
        <w:t xml:space="preserve"> bag equipment availability, delivery time window adherence, and perishable handling procedures.</w:t>
      </w:r>
    </w:p>
    <w:p w14:paraId="0B81ED96" w14:textId="77777777" w:rsidR="00F81FB6" w:rsidRDefault="00F81FB6"/>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81FB6" w14:paraId="77D7276F"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4E79"/>
          </w:tcPr>
          <w:p w14:paraId="12844852" w14:textId="77777777" w:rsidR="00F81FB6" w:rsidRDefault="00571C04">
            <w:pPr>
              <w:spacing w:before="100"/>
              <w:ind w:left="160"/>
            </w:pPr>
            <w:r>
              <w:rPr>
                <w:b/>
                <w:bCs/>
                <w:color w:val="FFFFFF"/>
              </w:rPr>
              <w:t>G.3  Warehousing &amp; Distribution Providers</w:t>
            </w:r>
          </w:p>
        </w:tc>
      </w:tr>
    </w:tbl>
    <w:p w14:paraId="1410CFA1" w14:textId="77777777" w:rsidR="00F81FB6" w:rsidRDefault="00F81FB6">
      <w:pPr>
        <w:spacing w:after="80"/>
      </w:pPr>
    </w:p>
    <w:p w14:paraId="63FA022B" w14:textId="77777777" w:rsidR="00F81FB6" w:rsidRDefault="00571C04">
      <w:pPr>
        <w:pStyle w:val="ListParagraph"/>
        <w:numPr>
          <w:ilvl w:val="0"/>
          <w:numId w:val="2"/>
        </w:numPr>
        <w:spacing w:after="40"/>
      </w:pPr>
      <w:r>
        <w:rPr>
          <w:sz w:val="20"/>
          <w:szCs w:val="20"/>
        </w:rPr>
        <w:t>Prioritize inventory accuracy rate and pick/pack accuracy rates above all other quality metrics — inventory errors directly affect WWRGD customer fulfillment and financial reconciliation.</w:t>
      </w:r>
    </w:p>
    <w:p w14:paraId="09320BAF" w14:textId="77777777" w:rsidR="00F81FB6" w:rsidRDefault="00571C04">
      <w:pPr>
        <w:pStyle w:val="ListParagraph"/>
        <w:numPr>
          <w:ilvl w:val="0"/>
          <w:numId w:val="2"/>
        </w:numPr>
        <w:spacing w:after="40"/>
      </w:pPr>
      <w:r>
        <w:rPr>
          <w:sz w:val="20"/>
          <w:szCs w:val="20"/>
        </w:rPr>
        <w:t>Evaluate WMS capabilities and integration methods. Request WMS syste</w:t>
      </w:r>
      <w:r>
        <w:rPr>
          <w:sz w:val="20"/>
          <w:szCs w:val="20"/>
        </w:rPr>
        <w:t>m name, version, and API/EDI integration documentation. Assess whether data can be exchanged seamlessly with WWRGD systems.</w:t>
      </w:r>
    </w:p>
    <w:p w14:paraId="5FF6E6CE" w14:textId="77777777" w:rsidR="00F81FB6" w:rsidRDefault="00571C04">
      <w:pPr>
        <w:pStyle w:val="ListParagraph"/>
        <w:numPr>
          <w:ilvl w:val="0"/>
          <w:numId w:val="2"/>
        </w:numPr>
        <w:spacing w:after="40"/>
      </w:pPr>
      <w:r>
        <w:rPr>
          <w:sz w:val="20"/>
          <w:szCs w:val="20"/>
        </w:rPr>
        <w:t>For food and grocery warehousing (Whole Foods Market, Amazon Fresh): assess cold chain compliance, temperature zone management (ambi</w:t>
      </w:r>
      <w:r>
        <w:rPr>
          <w:sz w:val="20"/>
          <w:szCs w:val="20"/>
        </w:rPr>
        <w:t>ent, refrigerated, frozen), and temperature monitoring systems.</w:t>
      </w:r>
    </w:p>
    <w:p w14:paraId="1E014973" w14:textId="77777777" w:rsidR="00F81FB6" w:rsidRDefault="00571C04">
      <w:pPr>
        <w:pStyle w:val="ListParagraph"/>
        <w:numPr>
          <w:ilvl w:val="0"/>
          <w:numId w:val="2"/>
        </w:numPr>
        <w:spacing w:after="40"/>
      </w:pPr>
      <w:r>
        <w:rPr>
          <w:sz w:val="20"/>
          <w:szCs w:val="20"/>
        </w:rPr>
        <w:t>CRITICAL: Review food safety certifications — SQF Level 2 or 3, BRC/BRCGS, FSSC 22000, and/or HACCP HARPC plan. These are required for any warehouse handling Whole Foods or Amazon Fresh invent</w:t>
      </w:r>
      <w:r>
        <w:rPr>
          <w:sz w:val="20"/>
          <w:szCs w:val="20"/>
        </w:rPr>
        <w:t>ory.</w:t>
      </w:r>
    </w:p>
    <w:p w14:paraId="326B87BC" w14:textId="77777777" w:rsidR="00F81FB6" w:rsidRDefault="00571C04">
      <w:pPr>
        <w:pStyle w:val="ListParagraph"/>
        <w:numPr>
          <w:ilvl w:val="0"/>
          <w:numId w:val="2"/>
        </w:numPr>
        <w:spacing w:after="40"/>
      </w:pPr>
      <w:r>
        <w:rPr>
          <w:sz w:val="20"/>
          <w:szCs w:val="20"/>
        </w:rPr>
        <w:t>Verify throughput capacity (units and pallets per day) against WWRGD projected volume requirements. Include peak-period throughput capability.</w:t>
      </w:r>
    </w:p>
    <w:p w14:paraId="624311A9" w14:textId="77777777" w:rsidR="00F81FB6" w:rsidRDefault="00571C04">
      <w:pPr>
        <w:pStyle w:val="ListParagraph"/>
        <w:numPr>
          <w:ilvl w:val="0"/>
          <w:numId w:val="2"/>
        </w:numPr>
        <w:spacing w:after="40"/>
      </w:pPr>
      <w:r>
        <w:rPr>
          <w:sz w:val="20"/>
          <w:szCs w:val="20"/>
        </w:rPr>
        <w:t>Assess pest control program (licensed PCO, frequency, documentation), sanitation programs (daily and deep cl</w:t>
      </w:r>
      <w:r>
        <w:rPr>
          <w:sz w:val="20"/>
          <w:szCs w:val="20"/>
        </w:rPr>
        <w:t>ean schedules), and facility maintenance standards.</w:t>
      </w:r>
    </w:p>
    <w:p w14:paraId="42095C7B" w14:textId="77777777" w:rsidR="00F81FB6" w:rsidRDefault="00571C04">
      <w:pPr>
        <w:pStyle w:val="ListParagraph"/>
        <w:numPr>
          <w:ilvl w:val="0"/>
          <w:numId w:val="2"/>
        </w:numPr>
        <w:spacing w:after="40"/>
      </w:pPr>
      <w:r>
        <w:rPr>
          <w:sz w:val="20"/>
          <w:szCs w:val="20"/>
        </w:rPr>
        <w:t>Review warehouse legal liability insurance and cargo/goods-in-storage insurance coverage. Verify coverage aligns with the value of WWRGD inventory to be stored.</w:t>
      </w:r>
    </w:p>
    <w:p w14:paraId="7C2DBD96" w14:textId="77777777" w:rsidR="00F81FB6" w:rsidRDefault="00571C04">
      <w:pPr>
        <w:pStyle w:val="ListParagraph"/>
        <w:numPr>
          <w:ilvl w:val="0"/>
          <w:numId w:val="2"/>
        </w:numPr>
        <w:spacing w:after="40"/>
      </w:pPr>
      <w:r>
        <w:rPr>
          <w:sz w:val="20"/>
          <w:szCs w:val="20"/>
        </w:rPr>
        <w:t>Evaluate value-added services: labeling, ki</w:t>
      </w:r>
      <w:r>
        <w:rPr>
          <w:sz w:val="20"/>
          <w:szCs w:val="20"/>
        </w:rPr>
        <w:t>tting, light assembly, returns processing, cross-docking, and lot/serial number tracking capabilities.</w:t>
      </w:r>
    </w:p>
    <w:p w14:paraId="01CF1AB5" w14:textId="77777777" w:rsidR="00F81FB6" w:rsidRDefault="00F81FB6"/>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81FB6" w14:paraId="19A13AA1"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2E6BA8"/>
          </w:tcPr>
          <w:p w14:paraId="014044EF" w14:textId="77777777" w:rsidR="00F81FB6" w:rsidRDefault="00571C04">
            <w:pPr>
              <w:spacing w:before="100"/>
              <w:ind w:left="160"/>
            </w:pPr>
            <w:r>
              <w:rPr>
                <w:b/>
                <w:bCs/>
                <w:color w:val="FFFFFF"/>
              </w:rPr>
              <w:t>G.4  Freight Brokers / Third-Party Logistics (3PL) Providers</w:t>
            </w:r>
          </w:p>
        </w:tc>
      </w:tr>
    </w:tbl>
    <w:p w14:paraId="5952E6A2" w14:textId="77777777" w:rsidR="00F81FB6" w:rsidRDefault="00F81FB6">
      <w:pPr>
        <w:spacing w:after="80"/>
      </w:pPr>
    </w:p>
    <w:p w14:paraId="5C66ABC0" w14:textId="77777777" w:rsidR="00F81FB6" w:rsidRDefault="00571C04">
      <w:pPr>
        <w:pStyle w:val="ListParagraph"/>
        <w:numPr>
          <w:ilvl w:val="0"/>
          <w:numId w:val="2"/>
        </w:numPr>
        <w:spacing w:after="40"/>
      </w:pPr>
      <w:r>
        <w:rPr>
          <w:sz w:val="20"/>
          <w:szCs w:val="20"/>
        </w:rPr>
        <w:t>Evaluate carrier vetting and qualification processes rigorously — the 3PL's carrier network quality directly determines performance outcomes and WWRGD risk exposure. Request carrier qualification criteria documentation.</w:t>
      </w:r>
    </w:p>
    <w:p w14:paraId="69D7BB11" w14:textId="77777777" w:rsidR="00F81FB6" w:rsidRDefault="00571C04">
      <w:pPr>
        <w:pStyle w:val="ListParagraph"/>
        <w:numPr>
          <w:ilvl w:val="0"/>
          <w:numId w:val="2"/>
        </w:numPr>
        <w:spacing w:after="40"/>
      </w:pPr>
      <w:r>
        <w:rPr>
          <w:sz w:val="20"/>
          <w:szCs w:val="20"/>
        </w:rPr>
        <w:t>Assess technology platform capabilit</w:t>
      </w:r>
      <w:r>
        <w:rPr>
          <w:sz w:val="20"/>
          <w:szCs w:val="20"/>
        </w:rPr>
        <w:t>ies: TMS with network-wide visibility, load tracking, reporting, and analytics. A 3PL without strong technology infrastructure creates blind spots in the supply chain.</w:t>
      </w:r>
    </w:p>
    <w:p w14:paraId="14305E9C" w14:textId="77777777" w:rsidR="00F81FB6" w:rsidRDefault="00571C04">
      <w:pPr>
        <w:pStyle w:val="ListParagraph"/>
        <w:numPr>
          <w:ilvl w:val="0"/>
          <w:numId w:val="2"/>
        </w:numPr>
        <w:spacing w:after="40"/>
      </w:pPr>
      <w:r>
        <w:rPr>
          <w:sz w:val="20"/>
          <w:szCs w:val="20"/>
        </w:rPr>
        <w:t>Review carrier network depth and geographic coverage. Assess the ratio of asset-based ca</w:t>
      </w:r>
      <w:r>
        <w:rPr>
          <w:sz w:val="20"/>
          <w:szCs w:val="20"/>
        </w:rPr>
        <w:t>rriers vs. broker-sourced spot market capacity. Heavy reliance on spot market creates volatility risk.</w:t>
      </w:r>
    </w:p>
    <w:p w14:paraId="1EAA3B93" w14:textId="77777777" w:rsidR="00F81FB6" w:rsidRDefault="00571C04">
      <w:pPr>
        <w:pStyle w:val="ListParagraph"/>
        <w:numPr>
          <w:ilvl w:val="0"/>
          <w:numId w:val="2"/>
        </w:numPr>
        <w:spacing w:after="40"/>
      </w:pPr>
      <w:r>
        <w:rPr>
          <w:sz w:val="20"/>
          <w:szCs w:val="20"/>
        </w:rPr>
        <w:t>Verify insurance coverage: contingent cargo insurance minimum $500,000 per occurrence, auto liability, general liability, and errors &amp; omissions coverage</w:t>
      </w:r>
      <w:r>
        <w:rPr>
          <w:sz w:val="20"/>
          <w:szCs w:val="20"/>
        </w:rPr>
        <w:t xml:space="preserve"> for brokerage activities.</w:t>
      </w:r>
    </w:p>
    <w:p w14:paraId="03BC3306" w14:textId="77777777" w:rsidR="00F81FB6" w:rsidRDefault="00571C04">
      <w:pPr>
        <w:pStyle w:val="ListParagraph"/>
        <w:numPr>
          <w:ilvl w:val="0"/>
          <w:numId w:val="2"/>
        </w:numPr>
        <w:spacing w:after="40"/>
      </w:pPr>
      <w:r>
        <w:rPr>
          <w:sz w:val="20"/>
          <w:szCs w:val="20"/>
        </w:rPr>
        <w:t>Assess financial stability with heightened scrutiny — brokers face unique cash flow risks from the timing gap between paying carriers (often net 30) and collecting from shippers (often net 45–60). Confirm no cash flow strain.</w:t>
      </w:r>
    </w:p>
    <w:p w14:paraId="65FE1EA1" w14:textId="77777777" w:rsidR="00F81FB6" w:rsidRDefault="00571C04">
      <w:pPr>
        <w:pStyle w:val="ListParagraph"/>
        <w:numPr>
          <w:ilvl w:val="0"/>
          <w:numId w:val="2"/>
        </w:numPr>
        <w:spacing w:after="40"/>
      </w:pPr>
      <w:r>
        <w:rPr>
          <w:sz w:val="20"/>
          <w:szCs w:val="20"/>
        </w:rPr>
        <w:t>Ver</w:t>
      </w:r>
      <w:r>
        <w:rPr>
          <w:sz w:val="20"/>
          <w:szCs w:val="20"/>
        </w:rPr>
        <w:t>ify FMCSA Freight Broker Authority (BMC-84 or BMC-85 surety bond or trust fund) is current. Lapsed broker authority is an immediate disqualifier.</w:t>
      </w:r>
    </w:p>
    <w:p w14:paraId="60EA0231" w14:textId="77777777" w:rsidR="00F81FB6" w:rsidRDefault="00571C04">
      <w:pPr>
        <w:pStyle w:val="ListParagraph"/>
        <w:numPr>
          <w:ilvl w:val="0"/>
          <w:numId w:val="2"/>
        </w:numPr>
        <w:spacing w:after="40"/>
      </w:pPr>
      <w:r>
        <w:rPr>
          <w:sz w:val="20"/>
          <w:szCs w:val="20"/>
        </w:rPr>
        <w:t xml:space="preserve">Evaluate dispute resolution and claims management processes — brokers add a layer between shipper and carrier </w:t>
      </w:r>
      <w:r>
        <w:rPr>
          <w:sz w:val="20"/>
          <w:szCs w:val="20"/>
        </w:rPr>
        <w:t>that can complicate claims resolution.</w:t>
      </w:r>
    </w:p>
    <w:p w14:paraId="0C630DBC" w14:textId="77777777" w:rsidR="00F81FB6" w:rsidRDefault="00F81FB6"/>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81FB6" w14:paraId="19F9D8E5"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4E79"/>
          </w:tcPr>
          <w:p w14:paraId="4F12A968" w14:textId="77777777" w:rsidR="00F81FB6" w:rsidRDefault="00571C04">
            <w:pPr>
              <w:spacing w:before="100"/>
              <w:ind w:left="160"/>
            </w:pPr>
            <w:r>
              <w:rPr>
                <w:b/>
                <w:bCs/>
                <w:color w:val="FFFFFF"/>
              </w:rPr>
              <w:t>G.5  Cold Chain / Temperature-Controlled Logistics  —  CRITICAL for Whole Foods &amp; Amazon Fresh</w:t>
            </w:r>
          </w:p>
        </w:tc>
      </w:tr>
    </w:tbl>
    <w:p w14:paraId="21028210" w14:textId="77777777" w:rsidR="00F81FB6" w:rsidRDefault="00F81FB6">
      <w:pPr>
        <w:spacing w:after="80"/>
      </w:pPr>
    </w:p>
    <w:p w14:paraId="7844747A" w14:textId="77777777" w:rsidR="00F81FB6" w:rsidRDefault="00571C04">
      <w:pPr>
        <w:pStyle w:val="ListParagraph"/>
        <w:numPr>
          <w:ilvl w:val="0"/>
          <w:numId w:val="2"/>
        </w:numPr>
        <w:spacing w:after="40"/>
      </w:pPr>
      <w:r>
        <w:rPr>
          <w:sz w:val="20"/>
          <w:szCs w:val="20"/>
        </w:rPr>
        <w:t>CRITICAL: Cold chain vendors serving Whole Foods Market and Amazon Fresh operations must meet the highest evaluation standards — temperature excursions create food safety, brand, and regulatory risk.</w:t>
      </w:r>
    </w:p>
    <w:p w14:paraId="75357643" w14:textId="77777777" w:rsidR="00F81FB6" w:rsidRDefault="00571C04">
      <w:pPr>
        <w:pStyle w:val="ListParagraph"/>
        <w:numPr>
          <w:ilvl w:val="0"/>
          <w:numId w:val="2"/>
        </w:numPr>
        <w:spacing w:after="40"/>
      </w:pPr>
      <w:r>
        <w:rPr>
          <w:sz w:val="20"/>
          <w:szCs w:val="20"/>
        </w:rPr>
        <w:t>Require real-time IoT temperature monitoring with automa</w:t>
      </w:r>
      <w:r>
        <w:rPr>
          <w:sz w:val="20"/>
          <w:szCs w:val="20"/>
        </w:rPr>
        <w:t>ted customer-facing alerts for any excursion exceeding product-specific temperature parameters. Manual logging is not acceptable for these programs.</w:t>
      </w:r>
    </w:p>
    <w:p w14:paraId="1F06D19E" w14:textId="77777777" w:rsidR="00F81FB6" w:rsidRDefault="00571C04">
      <w:pPr>
        <w:pStyle w:val="ListParagraph"/>
        <w:numPr>
          <w:ilvl w:val="0"/>
          <w:numId w:val="2"/>
        </w:numPr>
        <w:spacing w:after="40"/>
      </w:pPr>
      <w:r>
        <w:rPr>
          <w:sz w:val="20"/>
          <w:szCs w:val="20"/>
        </w:rPr>
        <w:t>Verify backup refrigeration systems and emergency protocols: What happens when primary refrigeration fails?</w:t>
      </w:r>
      <w:r>
        <w:rPr>
          <w:sz w:val="20"/>
          <w:szCs w:val="20"/>
        </w:rPr>
        <w:t xml:space="preserve"> How quickly can backup be deployed? What is the escalation process?</w:t>
      </w:r>
    </w:p>
    <w:p w14:paraId="63A455D1" w14:textId="77777777" w:rsidR="00F81FB6" w:rsidRDefault="00571C04">
      <w:pPr>
        <w:pStyle w:val="ListParagraph"/>
        <w:numPr>
          <w:ilvl w:val="0"/>
          <w:numId w:val="2"/>
        </w:numPr>
        <w:spacing w:after="40"/>
      </w:pPr>
      <w:r>
        <w:rPr>
          <w:sz w:val="20"/>
          <w:szCs w:val="20"/>
        </w:rPr>
        <w:t>Assess FSMA Sanitary Transportation of Human and Animal Food Rule (21 CFR Part 1.900–1.934) compliance documentation, including written procedures for temperature control, equipment clean</w:t>
      </w:r>
      <w:r>
        <w:rPr>
          <w:sz w:val="20"/>
          <w:szCs w:val="20"/>
        </w:rPr>
        <w:t>ing, and training.</w:t>
      </w:r>
    </w:p>
    <w:p w14:paraId="327D0E57" w14:textId="77777777" w:rsidR="00F81FB6" w:rsidRDefault="00571C04">
      <w:pPr>
        <w:pStyle w:val="ListParagraph"/>
        <w:numPr>
          <w:ilvl w:val="0"/>
          <w:numId w:val="2"/>
        </w:numPr>
        <w:spacing w:after="40"/>
      </w:pPr>
      <w:r>
        <w:rPr>
          <w:sz w:val="20"/>
          <w:szCs w:val="20"/>
        </w:rPr>
        <w:t>Review temperature excursion history (3 years): frequency, duration, root causes, and corrective actions taken. Zero tolerance for recurring excursions of the same root cause.</w:t>
      </w:r>
    </w:p>
    <w:p w14:paraId="029BEA2A" w14:textId="77777777" w:rsidR="00F81FB6" w:rsidRDefault="00571C04">
      <w:pPr>
        <w:pStyle w:val="ListParagraph"/>
        <w:numPr>
          <w:ilvl w:val="0"/>
          <w:numId w:val="2"/>
        </w:numPr>
        <w:spacing w:after="40"/>
      </w:pPr>
      <w:r>
        <w:rPr>
          <w:sz w:val="20"/>
          <w:szCs w:val="20"/>
        </w:rPr>
        <w:t>Evaluate cold chain certifications: ISTA 7D or equivalent col</w:t>
      </w:r>
      <w:r>
        <w:rPr>
          <w:sz w:val="20"/>
          <w:szCs w:val="20"/>
        </w:rPr>
        <w:t>d chain packaging testing, third-party cold chain audit results (e.g., Sensitech, Reefer Standards), and GDP (Good Distribution Practice) compliance.</w:t>
      </w:r>
    </w:p>
    <w:p w14:paraId="3272F678" w14:textId="77777777" w:rsidR="00F81FB6" w:rsidRDefault="00571C04">
      <w:pPr>
        <w:pStyle w:val="ListParagraph"/>
        <w:numPr>
          <w:ilvl w:val="0"/>
          <w:numId w:val="2"/>
        </w:numPr>
        <w:spacing w:after="40"/>
      </w:pPr>
      <w:r>
        <w:rPr>
          <w:sz w:val="20"/>
          <w:szCs w:val="20"/>
        </w:rPr>
        <w:t>Confirm multi-zone temperature capability: frozen (-18°C or colder), refrigerated (0–4°C), controlled ambi</w:t>
      </w:r>
      <w:r>
        <w:rPr>
          <w:sz w:val="20"/>
          <w:szCs w:val="20"/>
        </w:rPr>
        <w:t>ent (15–25°C), and produce zones (specific to commodity requirements).</w:t>
      </w:r>
    </w:p>
    <w:p w14:paraId="7F662FAF" w14:textId="77777777" w:rsidR="00F81FB6" w:rsidRDefault="00571C04">
      <w:pPr>
        <w:pStyle w:val="ListParagraph"/>
        <w:numPr>
          <w:ilvl w:val="0"/>
          <w:numId w:val="2"/>
        </w:numPr>
        <w:spacing w:after="40"/>
      </w:pPr>
      <w:r>
        <w:rPr>
          <w:sz w:val="20"/>
          <w:szCs w:val="20"/>
        </w:rPr>
        <w:t>Verify pre-cooling protocols for vehicles and warehouse loading docks: documented pre-cool times, setpoint verification before loading, and continuous monitoring from loading through de</w:t>
      </w:r>
      <w:r>
        <w:rPr>
          <w:sz w:val="20"/>
          <w:szCs w:val="20"/>
        </w:rPr>
        <w:t>livery.</w:t>
      </w:r>
    </w:p>
    <w:p w14:paraId="0E405878" w14:textId="77777777" w:rsidR="00F81FB6" w:rsidRDefault="00F81FB6"/>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81FB6" w14:paraId="5D6426EF"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2E6BA8"/>
          </w:tcPr>
          <w:p w14:paraId="558EABDD" w14:textId="77777777" w:rsidR="00F81FB6" w:rsidRDefault="00571C04">
            <w:pPr>
              <w:spacing w:before="100"/>
              <w:ind w:left="160"/>
            </w:pPr>
            <w:r>
              <w:rPr>
                <w:b/>
                <w:bCs/>
                <w:color w:val="FFFFFF"/>
              </w:rPr>
              <w:t>G.6  Intermodal / Multimodal Providers</w:t>
            </w:r>
          </w:p>
        </w:tc>
      </w:tr>
    </w:tbl>
    <w:p w14:paraId="66367D02" w14:textId="77777777" w:rsidR="00F81FB6" w:rsidRDefault="00F81FB6">
      <w:pPr>
        <w:spacing w:after="80"/>
      </w:pPr>
    </w:p>
    <w:p w14:paraId="53669BEE" w14:textId="77777777" w:rsidR="00F81FB6" w:rsidRDefault="00571C04">
      <w:pPr>
        <w:pStyle w:val="ListParagraph"/>
        <w:numPr>
          <w:ilvl w:val="0"/>
          <w:numId w:val="2"/>
        </w:numPr>
        <w:spacing w:after="40"/>
      </w:pPr>
      <w:r>
        <w:rPr>
          <w:sz w:val="20"/>
          <w:szCs w:val="20"/>
        </w:rPr>
        <w:t>Evaluate drayage capabilities and relationships with port terminals and inland rail ramps. Strong drayage partnerships reduce port congestion exposure and detention charges.</w:t>
      </w:r>
    </w:p>
    <w:p w14:paraId="2278CA03" w14:textId="77777777" w:rsidR="00F81FB6" w:rsidRDefault="00571C04">
      <w:pPr>
        <w:pStyle w:val="ListParagraph"/>
        <w:numPr>
          <w:ilvl w:val="0"/>
          <w:numId w:val="2"/>
        </w:numPr>
        <w:spacing w:after="40"/>
      </w:pPr>
      <w:r>
        <w:rPr>
          <w:sz w:val="20"/>
          <w:szCs w:val="20"/>
        </w:rPr>
        <w:t>Assess container tracking and visibility across all modes (ocean, rail, and drayag</w:t>
      </w:r>
      <w:r>
        <w:rPr>
          <w:sz w:val="20"/>
          <w:szCs w:val="20"/>
        </w:rPr>
        <w:t>e). End-to-end visibility from origin port through final-mile delivery is the benchmark.</w:t>
      </w:r>
    </w:p>
    <w:p w14:paraId="0EEA92AF" w14:textId="77777777" w:rsidR="00F81FB6" w:rsidRDefault="00571C04">
      <w:pPr>
        <w:pStyle w:val="ListParagraph"/>
        <w:numPr>
          <w:ilvl w:val="0"/>
          <w:numId w:val="2"/>
        </w:numPr>
        <w:spacing w:after="40"/>
      </w:pPr>
      <w:r>
        <w:rPr>
          <w:sz w:val="20"/>
          <w:szCs w:val="20"/>
        </w:rPr>
        <w:t>Review transit time reliability for intermodal vs. over-the-road (OTR) alternatives. Understand the trade-offs for each lane and ensure the vendor provides data-driven</w:t>
      </w:r>
      <w:r>
        <w:rPr>
          <w:sz w:val="20"/>
          <w:szCs w:val="20"/>
        </w:rPr>
        <w:t xml:space="preserve"> mode selection recommendations.</w:t>
      </w:r>
    </w:p>
    <w:p w14:paraId="580A02E3" w14:textId="77777777" w:rsidR="00F81FB6" w:rsidRDefault="00571C04">
      <w:pPr>
        <w:pStyle w:val="ListParagraph"/>
        <w:numPr>
          <w:ilvl w:val="0"/>
          <w:numId w:val="2"/>
        </w:numPr>
        <w:spacing w:after="40"/>
      </w:pPr>
      <w:r>
        <w:rPr>
          <w:sz w:val="20"/>
          <w:szCs w:val="20"/>
        </w:rPr>
        <w:t>Verify equipment availability and chassis management: owned chassis pool, IEP (Intermodal Equipment Provider) relationships, and procedures for chassis shortages at high-demand terminals.</w:t>
      </w:r>
    </w:p>
    <w:p w14:paraId="131DAAF7" w14:textId="77777777" w:rsidR="00F81FB6" w:rsidRDefault="00571C04">
      <w:pPr>
        <w:pStyle w:val="ListParagraph"/>
        <w:numPr>
          <w:ilvl w:val="0"/>
          <w:numId w:val="2"/>
        </w:numPr>
        <w:spacing w:after="40"/>
      </w:pPr>
      <w:r>
        <w:rPr>
          <w:sz w:val="20"/>
          <w:szCs w:val="20"/>
        </w:rPr>
        <w:t>Assess customs/trade compliance exp</w:t>
      </w:r>
      <w:r>
        <w:rPr>
          <w:sz w:val="20"/>
          <w:szCs w:val="20"/>
        </w:rPr>
        <w:t>ertise and CBP/ACE filing capabilities for international intermodal moves. C-TPAT membership is strongly preferred.</w:t>
      </w:r>
    </w:p>
    <w:p w14:paraId="743479CE" w14:textId="77777777" w:rsidR="00F81FB6" w:rsidRDefault="00571C04">
      <w:pPr>
        <w:pStyle w:val="ListParagraph"/>
        <w:numPr>
          <w:ilvl w:val="0"/>
          <w:numId w:val="2"/>
        </w:numPr>
        <w:spacing w:after="40"/>
      </w:pPr>
      <w:r>
        <w:rPr>
          <w:sz w:val="20"/>
          <w:szCs w:val="20"/>
        </w:rPr>
        <w:t>Review port congestion mitigation strategies: inland container depots (ICDs), early return programs, and flexible delivery scheduling to min</w:t>
      </w:r>
      <w:r>
        <w:rPr>
          <w:sz w:val="20"/>
          <w:szCs w:val="20"/>
        </w:rPr>
        <w:t>imize dwell and detention fees.</w:t>
      </w:r>
    </w:p>
    <w:p w14:paraId="1C31B6E5" w14:textId="77777777" w:rsidR="00F81FB6" w:rsidRDefault="00571C04">
      <w:pPr>
        <w:pStyle w:val="ListParagraph"/>
        <w:numPr>
          <w:ilvl w:val="0"/>
          <w:numId w:val="2"/>
        </w:numPr>
        <w:spacing w:after="40"/>
      </w:pPr>
      <w:r>
        <w:rPr>
          <w:sz w:val="20"/>
          <w:szCs w:val="20"/>
        </w:rPr>
        <w:t>Evaluate claims handling for intermodal — liability is split across carriers at mode junctions, requiring the provider to have clear claims management processes and adequate contingent cargo coverage.</w:t>
      </w:r>
    </w:p>
    <w:p w14:paraId="3A4227C3" w14:textId="77777777" w:rsidR="00F81FB6" w:rsidRDefault="00F81FB6">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81FB6" w14:paraId="41DE9E65" w14:textId="77777777">
        <w:tblPrEx>
          <w:tblCellMar>
            <w:top w:w="0" w:type="dxa"/>
            <w:bottom w:w="0" w:type="dxa"/>
          </w:tblCellMar>
        </w:tblPrEx>
        <w:tc>
          <w:tcPr>
            <w:tcW w:w="9360" w:type="dxa"/>
            <w:tcBorders>
              <w:top w:val="single" w:sz="4" w:space="0" w:color="1F4E79"/>
              <w:left w:val="single" w:sz="4" w:space="0" w:color="CCCCCC"/>
              <w:bottom w:val="single" w:sz="4" w:space="0" w:color="CCCCCC"/>
              <w:right w:val="single" w:sz="4" w:space="0" w:color="CCCCCC"/>
            </w:tcBorders>
            <w:shd w:val="clear" w:color="auto" w:fill="EBF3FA"/>
          </w:tcPr>
          <w:p w14:paraId="16FC4300" w14:textId="77777777" w:rsidR="00F81FB6" w:rsidRDefault="00571C04">
            <w:pPr>
              <w:spacing w:before="100" w:after="40"/>
              <w:ind w:left="200" w:right="200"/>
            </w:pPr>
            <w:r>
              <w:rPr>
                <w:b/>
                <w:bCs/>
                <w:color w:val="1F4E79"/>
                <w:sz w:val="20"/>
                <w:szCs w:val="20"/>
              </w:rPr>
              <w:t>Document Control &amp; Com</w:t>
            </w:r>
            <w:r>
              <w:rPr>
                <w:b/>
                <w:bCs/>
                <w:color w:val="1F4E79"/>
                <w:sz w:val="20"/>
                <w:szCs w:val="20"/>
              </w:rPr>
              <w:t>panion Documents</w:t>
            </w:r>
          </w:p>
          <w:p w14:paraId="66A324B3" w14:textId="77777777" w:rsidR="00F81FB6" w:rsidRDefault="00571C04">
            <w:pPr>
              <w:spacing w:after="40"/>
              <w:ind w:left="200" w:right="200"/>
            </w:pPr>
            <w:r>
              <w:rPr>
                <w:b/>
                <w:bCs/>
                <w:color w:val="2F2F2F"/>
                <w:sz w:val="19"/>
                <w:szCs w:val="19"/>
              </w:rPr>
              <w:t xml:space="preserve">Document ID: </w:t>
            </w:r>
            <w:r>
              <w:rPr>
                <w:sz w:val="19"/>
                <w:szCs w:val="19"/>
              </w:rPr>
              <w:t xml:space="preserve">WWRGD-RSM-LV-001 v1.0  |  </w:t>
            </w:r>
            <w:r>
              <w:rPr>
                <w:b/>
                <w:bCs/>
                <w:sz w:val="19"/>
                <w:szCs w:val="19"/>
              </w:rPr>
              <w:t xml:space="preserve">Effective Date: </w:t>
            </w:r>
            <w:r>
              <w:rPr>
                <w:sz w:val="19"/>
                <w:szCs w:val="19"/>
              </w:rPr>
              <w:t xml:space="preserve">April 2026  |  </w:t>
            </w:r>
            <w:r>
              <w:rPr>
                <w:b/>
                <w:bCs/>
                <w:sz w:val="19"/>
                <w:szCs w:val="19"/>
              </w:rPr>
              <w:t xml:space="preserve">Owner: </w:t>
            </w:r>
            <w:r>
              <w:rPr>
                <w:sz w:val="19"/>
                <w:szCs w:val="19"/>
              </w:rPr>
              <w:t>WWRGD Procurement &amp; Vendor Risk Management</w:t>
            </w:r>
          </w:p>
          <w:p w14:paraId="1BC3CEBB" w14:textId="77777777" w:rsidR="00F81FB6" w:rsidRDefault="00571C04">
            <w:pPr>
              <w:ind w:left="200" w:right="200"/>
            </w:pPr>
            <w:r>
              <w:rPr>
                <w:b/>
                <w:bCs/>
                <w:color w:val="2F2F2F"/>
                <w:sz w:val="19"/>
                <w:szCs w:val="19"/>
              </w:rPr>
              <w:t xml:space="preserve">Companion RFI: </w:t>
            </w:r>
            <w:r>
              <w:rPr>
                <w:sz w:val="19"/>
                <w:szCs w:val="19"/>
              </w:rPr>
              <w:t xml:space="preserve">WWRGD_Logistics_Vendor_RFI.xlsx  |  </w:t>
            </w:r>
            <w:r>
              <w:rPr>
                <w:b/>
                <w:bCs/>
                <w:sz w:val="19"/>
                <w:szCs w:val="19"/>
              </w:rPr>
              <w:t xml:space="preserve">See Also: </w:t>
            </w:r>
            <w:r>
              <w:rPr>
                <w:sz w:val="19"/>
                <w:szCs w:val="19"/>
              </w:rPr>
              <w:t>WWRGD-RSM-GV-001 (General Vendor Matrix), WWRGD-RSM-GC-001 (GC Matrix), WWRGD-WF-VRA-001 (Workflow SOP)</w:t>
            </w:r>
          </w:p>
        </w:tc>
      </w:tr>
    </w:tbl>
    <w:p w14:paraId="146F66F4" w14:textId="77777777" w:rsidR="00571C04" w:rsidRDefault="00571C04"/>
    <w:sectPr w:rsidR="00571C04">
      <w:headerReference w:type="default" r:id="rId7"/>
      <w:footerReference w:type="default" r:id="rId8"/>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D0222" w14:textId="77777777" w:rsidR="00571C04" w:rsidRDefault="00571C04">
      <w:pPr>
        <w:spacing w:after="0"/>
      </w:pPr>
      <w:r>
        <w:separator/>
      </w:r>
    </w:p>
  </w:endnote>
  <w:endnote w:type="continuationSeparator" w:id="0">
    <w:p w14:paraId="2212838A" w14:textId="77777777" w:rsidR="00571C04" w:rsidRDefault="00571C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F81FB6" w14:paraId="26158714" w14:textId="77777777">
      <w:tblPrEx>
        <w:tblCellMar>
          <w:top w:w="0" w:type="dxa"/>
          <w:bottom w:w="0" w:type="dxa"/>
        </w:tblCellMar>
      </w:tblPrEx>
      <w:tc>
        <w:tcPr>
          <w:tcW w:w="4680" w:type="dxa"/>
          <w:tcBorders>
            <w:top w:val="single" w:sz="4" w:space="0" w:color="CCCCCC"/>
            <w:left w:val="single" w:sz="4" w:space="0" w:color="CCCCCC"/>
            <w:bottom w:val="single" w:sz="4" w:space="0" w:color="CCCCCC"/>
            <w:right w:val="single" w:sz="4" w:space="0" w:color="CCCCCC"/>
          </w:tcBorders>
          <w:shd w:val="clear" w:color="auto" w:fill="FFFFFF"/>
        </w:tcPr>
        <w:p w14:paraId="59EDDD35" w14:textId="77777777" w:rsidR="00F81FB6" w:rsidRDefault="00571C04">
          <w:r>
            <w:rPr>
              <w:color w:val="595959"/>
              <w:sz w:val="17"/>
              <w:szCs w:val="17"/>
            </w:rPr>
            <w:t>© 2026 WWRGD — Procurement &amp; Vendor Risk Management. Confidential.</w:t>
          </w:r>
        </w:p>
      </w:tc>
      <w:tc>
        <w:tcPr>
          <w:tcW w:w="4680" w:type="dxa"/>
          <w:tcBorders>
            <w:top w:val="single" w:sz="4" w:space="0" w:color="CCCCCC"/>
            <w:left w:val="single" w:sz="4" w:space="0" w:color="CCCCCC"/>
            <w:bottom w:val="single" w:sz="4" w:space="0" w:color="CCCCCC"/>
            <w:right w:val="single" w:sz="4" w:space="0" w:color="CCCCCC"/>
          </w:tcBorders>
          <w:shd w:val="clear" w:color="auto" w:fill="FFFFFF"/>
        </w:tcPr>
        <w:p w14:paraId="154C2AE0" w14:textId="77777777" w:rsidR="00F81FB6" w:rsidRDefault="00571C04">
          <w:pPr>
            <w:jc w:val="right"/>
          </w:pPr>
          <w:r>
            <w:rPr>
              <w:color w:val="595959"/>
              <w:sz w:val="17"/>
              <w:szCs w:val="17"/>
            </w:rPr>
            <w:t xml:space="preserve">Page </w:t>
          </w:r>
          <w:r>
            <w:rPr>
              <w:color w:val="595959"/>
              <w:sz w:val="17"/>
              <w:szCs w:val="17"/>
            </w:rPr>
            <w:fldChar w:fldCharType="begin"/>
          </w:r>
          <w:r>
            <w:rPr>
              <w:color w:val="595959"/>
              <w:sz w:val="17"/>
              <w:szCs w:val="17"/>
            </w:rPr>
            <w:instrText>PAGE</w:instrText>
          </w:r>
          <w:r>
            <w:rPr>
              <w:color w:val="595959"/>
              <w:sz w:val="17"/>
              <w:szCs w:val="17"/>
            </w:rPr>
            <w:fldChar w:fldCharType="separate"/>
          </w:r>
          <w:r w:rsidR="00A914AB">
            <w:rPr>
              <w:noProof/>
              <w:color w:val="595959"/>
              <w:sz w:val="17"/>
              <w:szCs w:val="17"/>
            </w:rPr>
            <w:t>1</w:t>
          </w:r>
          <w:r>
            <w:rPr>
              <w:color w:val="595959"/>
              <w:sz w:val="17"/>
              <w:szCs w:val="17"/>
            </w:rPr>
            <w:fldChar w:fldCharType="end"/>
          </w:r>
          <w:r>
            <w:rPr>
              <w:color w:val="595959"/>
              <w:sz w:val="17"/>
              <w:szCs w:val="17"/>
            </w:rPr>
            <w:t xml:space="preserve"> of </w:t>
          </w:r>
          <w:r>
            <w:rPr>
              <w:color w:val="595959"/>
              <w:sz w:val="17"/>
              <w:szCs w:val="17"/>
            </w:rPr>
            <w:fldChar w:fldCharType="begin"/>
          </w:r>
          <w:r>
            <w:rPr>
              <w:color w:val="595959"/>
              <w:sz w:val="17"/>
              <w:szCs w:val="17"/>
            </w:rPr>
            <w:instrText>NUMPAGES</w:instrText>
          </w:r>
          <w:r>
            <w:rPr>
              <w:color w:val="595959"/>
              <w:sz w:val="17"/>
              <w:szCs w:val="17"/>
            </w:rPr>
            <w:fldChar w:fldCharType="separate"/>
          </w:r>
          <w:r w:rsidR="00A914AB">
            <w:rPr>
              <w:noProof/>
              <w:color w:val="595959"/>
              <w:sz w:val="17"/>
              <w:szCs w:val="17"/>
            </w:rPr>
            <w:t>2</w:t>
          </w:r>
          <w:r>
            <w:rPr>
              <w:color w:val="595959"/>
              <w:sz w:val="17"/>
              <w:szCs w:val="17"/>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DF99E" w14:textId="77777777" w:rsidR="00571C04" w:rsidRDefault="00571C04">
      <w:pPr>
        <w:spacing w:after="0"/>
      </w:pPr>
      <w:r>
        <w:separator/>
      </w:r>
    </w:p>
  </w:footnote>
  <w:footnote w:type="continuationSeparator" w:id="0">
    <w:p w14:paraId="7F9A49CA" w14:textId="77777777" w:rsidR="00571C04" w:rsidRDefault="00571C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0"/>
      <w:gridCol w:w="4360"/>
    </w:tblGrid>
    <w:tr w:rsidR="00F81FB6" w14:paraId="23C269B6" w14:textId="77777777">
      <w:tblPrEx>
        <w:tblCellMar>
          <w:top w:w="0" w:type="dxa"/>
          <w:bottom w:w="0" w:type="dxa"/>
        </w:tblCellMar>
      </w:tblPrEx>
      <w:tc>
        <w:tcPr>
          <w:tcW w:w="5000" w:type="dxa"/>
          <w:tcBorders>
            <w:top w:val="single" w:sz="4" w:space="0" w:color="CCCCCC"/>
            <w:left w:val="single" w:sz="4" w:space="0" w:color="CCCCCC"/>
            <w:bottom w:val="single" w:sz="4" w:space="0" w:color="CCCCCC"/>
            <w:right w:val="single" w:sz="4" w:space="0" w:color="CCCCCC"/>
          </w:tcBorders>
          <w:shd w:val="clear" w:color="auto" w:fill="FFFFFF"/>
        </w:tcPr>
        <w:p w14:paraId="7BCEA155" w14:textId="77777777" w:rsidR="00F81FB6" w:rsidRDefault="00571C04">
          <w:r>
            <w:rPr>
              <w:b/>
              <w:bCs/>
              <w:color w:val="1F4E79"/>
              <w:sz w:val="18"/>
              <w:szCs w:val="18"/>
            </w:rPr>
            <w:t>WWRGD Logistics Vendor Risk Scoring Matrix</w:t>
          </w:r>
        </w:p>
      </w:tc>
      <w:tc>
        <w:tcPr>
          <w:tcW w:w="4360" w:type="dxa"/>
          <w:tcBorders>
            <w:top w:val="single" w:sz="4" w:space="0" w:color="CCCCCC"/>
            <w:left w:val="single" w:sz="4" w:space="0" w:color="CCCCCC"/>
            <w:bottom w:val="single" w:sz="4" w:space="0" w:color="CCCCCC"/>
            <w:right w:val="single" w:sz="4" w:space="0" w:color="CCCCCC"/>
          </w:tcBorders>
          <w:shd w:val="clear" w:color="auto" w:fill="FFFFFF"/>
        </w:tcPr>
        <w:p w14:paraId="41102759" w14:textId="77777777" w:rsidR="00F81FB6" w:rsidRDefault="00571C04">
          <w:pPr>
            <w:jc w:val="right"/>
          </w:pPr>
          <w:r>
            <w:rPr>
              <w:color w:val="595959"/>
              <w:sz w:val="18"/>
              <w:szCs w:val="18"/>
            </w:rPr>
            <w:t>WWRGD-RSM-LV-001 v1.0  |  April 2026</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64998"/>
    <w:multiLevelType w:val="hybridMultilevel"/>
    <w:tmpl w:val="1A2C75FE"/>
    <w:lvl w:ilvl="0" w:tplc="03F2A4C6">
      <w:start w:val="1"/>
      <w:numFmt w:val="decimal"/>
      <w:lvlText w:val="%1."/>
      <w:lvlJc w:val="left"/>
      <w:pPr>
        <w:ind w:left="540" w:hanging="260"/>
      </w:pPr>
      <w:rPr>
        <w:rFonts w:ascii="Calibri" w:eastAsia="Calibri" w:hAnsi="Calibri" w:cs="Calibri"/>
        <w:b/>
        <w:bCs/>
        <w:sz w:val="20"/>
        <w:szCs w:val="20"/>
      </w:rPr>
    </w:lvl>
    <w:lvl w:ilvl="1" w:tplc="C4CAF65C">
      <w:numFmt w:val="decimal"/>
      <w:lvlText w:val=""/>
      <w:lvlJc w:val="left"/>
    </w:lvl>
    <w:lvl w:ilvl="2" w:tplc="D83AB552">
      <w:numFmt w:val="decimal"/>
      <w:lvlText w:val=""/>
      <w:lvlJc w:val="left"/>
    </w:lvl>
    <w:lvl w:ilvl="3" w:tplc="A600C092">
      <w:numFmt w:val="decimal"/>
      <w:lvlText w:val=""/>
      <w:lvlJc w:val="left"/>
    </w:lvl>
    <w:lvl w:ilvl="4" w:tplc="1DCEE662">
      <w:numFmt w:val="decimal"/>
      <w:lvlText w:val=""/>
      <w:lvlJc w:val="left"/>
    </w:lvl>
    <w:lvl w:ilvl="5" w:tplc="EEDC1BEA">
      <w:numFmt w:val="decimal"/>
      <w:lvlText w:val=""/>
      <w:lvlJc w:val="left"/>
    </w:lvl>
    <w:lvl w:ilvl="6" w:tplc="2F1EE8B6">
      <w:numFmt w:val="decimal"/>
      <w:lvlText w:val=""/>
      <w:lvlJc w:val="left"/>
    </w:lvl>
    <w:lvl w:ilvl="7" w:tplc="0E52D572">
      <w:numFmt w:val="decimal"/>
      <w:lvlText w:val=""/>
      <w:lvlJc w:val="left"/>
    </w:lvl>
    <w:lvl w:ilvl="8" w:tplc="EF16BFFC">
      <w:numFmt w:val="decimal"/>
      <w:lvlText w:val=""/>
      <w:lvlJc w:val="left"/>
    </w:lvl>
  </w:abstractNum>
  <w:abstractNum w:abstractNumId="1" w15:restartNumberingAfterBreak="0">
    <w:nsid w:val="190A3DB0"/>
    <w:multiLevelType w:val="hybridMultilevel"/>
    <w:tmpl w:val="9BD0E330"/>
    <w:lvl w:ilvl="0" w:tplc="5704CBAA">
      <w:start w:val="1"/>
      <w:numFmt w:val="bullet"/>
      <w:lvlText w:val="•"/>
      <w:lvlJc w:val="left"/>
      <w:pPr>
        <w:ind w:left="540" w:hanging="260"/>
      </w:pPr>
      <w:rPr>
        <w:rFonts w:ascii="Calibri" w:eastAsia="Calibri" w:hAnsi="Calibri" w:cs="Calibri"/>
        <w:sz w:val="20"/>
        <w:szCs w:val="20"/>
      </w:rPr>
    </w:lvl>
    <w:lvl w:ilvl="1" w:tplc="D6CA91F0">
      <w:numFmt w:val="decimal"/>
      <w:lvlText w:val=""/>
      <w:lvlJc w:val="left"/>
    </w:lvl>
    <w:lvl w:ilvl="2" w:tplc="4080BF0E">
      <w:numFmt w:val="decimal"/>
      <w:lvlText w:val=""/>
      <w:lvlJc w:val="left"/>
    </w:lvl>
    <w:lvl w:ilvl="3" w:tplc="045A46F8">
      <w:numFmt w:val="decimal"/>
      <w:lvlText w:val=""/>
      <w:lvlJc w:val="left"/>
    </w:lvl>
    <w:lvl w:ilvl="4" w:tplc="FBF0D3F8">
      <w:numFmt w:val="decimal"/>
      <w:lvlText w:val=""/>
      <w:lvlJc w:val="left"/>
    </w:lvl>
    <w:lvl w:ilvl="5" w:tplc="5858BF24">
      <w:numFmt w:val="decimal"/>
      <w:lvlText w:val=""/>
      <w:lvlJc w:val="left"/>
    </w:lvl>
    <w:lvl w:ilvl="6" w:tplc="4C1C2A18">
      <w:numFmt w:val="decimal"/>
      <w:lvlText w:val=""/>
      <w:lvlJc w:val="left"/>
    </w:lvl>
    <w:lvl w:ilvl="7" w:tplc="20D614AA">
      <w:numFmt w:val="decimal"/>
      <w:lvlText w:val=""/>
      <w:lvlJc w:val="left"/>
    </w:lvl>
    <w:lvl w:ilvl="8" w:tplc="0BF64524">
      <w:numFmt w:val="decimal"/>
      <w:lvlText w:val=""/>
      <w:lvlJc w:val="left"/>
    </w:lvl>
  </w:abstractNum>
  <w:abstractNum w:abstractNumId="2" w15:restartNumberingAfterBreak="0">
    <w:nsid w:val="4C082384"/>
    <w:multiLevelType w:val="hybridMultilevel"/>
    <w:tmpl w:val="9404E31C"/>
    <w:lvl w:ilvl="0" w:tplc="444A2010">
      <w:start w:val="1"/>
      <w:numFmt w:val="bullet"/>
      <w:lvlText w:val="●"/>
      <w:lvlJc w:val="left"/>
      <w:pPr>
        <w:ind w:left="720" w:hanging="360"/>
      </w:pPr>
    </w:lvl>
    <w:lvl w:ilvl="1" w:tplc="78DE4AEC">
      <w:start w:val="1"/>
      <w:numFmt w:val="bullet"/>
      <w:lvlText w:val="○"/>
      <w:lvlJc w:val="left"/>
      <w:pPr>
        <w:ind w:left="1440" w:hanging="360"/>
      </w:pPr>
    </w:lvl>
    <w:lvl w:ilvl="2" w:tplc="D6647952">
      <w:start w:val="1"/>
      <w:numFmt w:val="bullet"/>
      <w:lvlText w:val="■"/>
      <w:lvlJc w:val="left"/>
      <w:pPr>
        <w:ind w:left="2160" w:hanging="360"/>
      </w:pPr>
    </w:lvl>
    <w:lvl w:ilvl="3" w:tplc="B4BC2920">
      <w:start w:val="1"/>
      <w:numFmt w:val="bullet"/>
      <w:lvlText w:val="●"/>
      <w:lvlJc w:val="left"/>
      <w:pPr>
        <w:ind w:left="2880" w:hanging="360"/>
      </w:pPr>
    </w:lvl>
    <w:lvl w:ilvl="4" w:tplc="37E81C6C">
      <w:start w:val="1"/>
      <w:numFmt w:val="bullet"/>
      <w:lvlText w:val="○"/>
      <w:lvlJc w:val="left"/>
      <w:pPr>
        <w:ind w:left="3600" w:hanging="360"/>
      </w:pPr>
    </w:lvl>
    <w:lvl w:ilvl="5" w:tplc="9E2A52CE">
      <w:start w:val="1"/>
      <w:numFmt w:val="bullet"/>
      <w:lvlText w:val="■"/>
      <w:lvlJc w:val="left"/>
      <w:pPr>
        <w:ind w:left="4320" w:hanging="360"/>
      </w:pPr>
    </w:lvl>
    <w:lvl w:ilvl="6" w:tplc="34341B2A">
      <w:start w:val="1"/>
      <w:numFmt w:val="bullet"/>
      <w:lvlText w:val="●"/>
      <w:lvlJc w:val="left"/>
      <w:pPr>
        <w:ind w:left="5040" w:hanging="360"/>
      </w:pPr>
    </w:lvl>
    <w:lvl w:ilvl="7" w:tplc="80CA3C72">
      <w:start w:val="1"/>
      <w:numFmt w:val="bullet"/>
      <w:lvlText w:val="●"/>
      <w:lvlJc w:val="left"/>
      <w:pPr>
        <w:ind w:left="5760" w:hanging="360"/>
      </w:pPr>
    </w:lvl>
    <w:lvl w:ilvl="8" w:tplc="741259B6">
      <w:start w:val="1"/>
      <w:numFmt w:val="bullet"/>
      <w:lvlText w:val="●"/>
      <w:lvlJc w:val="left"/>
      <w:pPr>
        <w:ind w:left="6480" w:hanging="360"/>
      </w:pPr>
    </w:lvl>
  </w:abstractNum>
  <w:abstractNum w:abstractNumId="3" w15:restartNumberingAfterBreak="0">
    <w:nsid w:val="6A517145"/>
    <w:multiLevelType w:val="hybridMultilevel"/>
    <w:tmpl w:val="81B475CE"/>
    <w:lvl w:ilvl="0" w:tplc="04C8C578">
      <w:start w:val="1"/>
      <w:numFmt w:val="bullet"/>
      <w:lvlText w:val="–"/>
      <w:lvlJc w:val="left"/>
      <w:pPr>
        <w:ind w:left="800" w:hanging="260"/>
      </w:pPr>
      <w:rPr>
        <w:rFonts w:ascii="Calibri" w:eastAsia="Calibri" w:hAnsi="Calibri" w:cs="Calibri"/>
        <w:sz w:val="20"/>
        <w:szCs w:val="20"/>
      </w:rPr>
    </w:lvl>
    <w:lvl w:ilvl="1" w:tplc="FEF21906">
      <w:numFmt w:val="decimal"/>
      <w:lvlText w:val=""/>
      <w:lvlJc w:val="left"/>
    </w:lvl>
    <w:lvl w:ilvl="2" w:tplc="7A208090">
      <w:numFmt w:val="decimal"/>
      <w:lvlText w:val=""/>
      <w:lvlJc w:val="left"/>
    </w:lvl>
    <w:lvl w:ilvl="3" w:tplc="B7A4A7EA">
      <w:numFmt w:val="decimal"/>
      <w:lvlText w:val=""/>
      <w:lvlJc w:val="left"/>
    </w:lvl>
    <w:lvl w:ilvl="4" w:tplc="3E0E09E2">
      <w:numFmt w:val="decimal"/>
      <w:lvlText w:val=""/>
      <w:lvlJc w:val="left"/>
    </w:lvl>
    <w:lvl w:ilvl="5" w:tplc="81A0592E">
      <w:numFmt w:val="decimal"/>
      <w:lvlText w:val=""/>
      <w:lvlJc w:val="left"/>
    </w:lvl>
    <w:lvl w:ilvl="6" w:tplc="B15C908E">
      <w:numFmt w:val="decimal"/>
      <w:lvlText w:val=""/>
      <w:lvlJc w:val="left"/>
    </w:lvl>
    <w:lvl w:ilvl="7" w:tplc="19007752">
      <w:numFmt w:val="decimal"/>
      <w:lvlText w:val=""/>
      <w:lvlJc w:val="left"/>
    </w:lvl>
    <w:lvl w:ilvl="8" w:tplc="F634D398">
      <w:numFmt w:val="decimal"/>
      <w:lvlText w:val=""/>
      <w:lvlJc w:val="left"/>
    </w:lvl>
  </w:abstractNum>
  <w:num w:numId="1">
    <w:abstractNumId w:val="2"/>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FB6"/>
    <w:rsid w:val="00571C04"/>
    <w:rsid w:val="00A914AB"/>
    <w:rsid w:val="00F81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BA2C8"/>
  <w15:docId w15:val="{D57A33FB-54DF-4CA8-A68D-BD59157D6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CoverTitle">
    <w:name w:val="Cover Title"/>
    <w:pPr>
      <w:spacing w:after="120"/>
    </w:pPr>
    <w:rPr>
      <w:b/>
      <w:bCs/>
      <w:color w:val="FFFFFF"/>
      <w:sz w:val="36"/>
      <w:szCs w:val="36"/>
    </w:rPr>
  </w:style>
  <w:style w:type="paragraph" w:customStyle="1" w:styleId="CoverSubtitle">
    <w:name w:val="Cover Subtitle"/>
    <w:rPr>
      <w:color w:val="BDD7EE"/>
    </w:rPr>
  </w:style>
  <w:style w:type="paragraph" w:customStyle="1" w:styleId="CoverMeta">
    <w:name w:val="Cover Meta"/>
    <w:pPr>
      <w:spacing w:after="80"/>
    </w:pPr>
    <w:rPr>
      <w:color w:val="FFFFFF"/>
      <w:sz w:val="20"/>
      <w:szCs w:val="20"/>
    </w:rPr>
  </w:style>
  <w:style w:type="paragraph" w:customStyle="1" w:styleId="SectionHeader">
    <w:name w:val="Section Header"/>
    <w:pPr>
      <w:spacing w:before="60" w:after="60"/>
    </w:pPr>
    <w:rPr>
      <w:b/>
      <w:bCs/>
      <w:color w:val="FFFFFF"/>
      <w:sz w:val="26"/>
      <w:szCs w:val="26"/>
    </w:rPr>
  </w:style>
  <w:style w:type="paragraph" w:styleId="BodyText">
    <w:name w:val="Body Text"/>
    <w:pPr>
      <w:spacing w:after="80" w:line="276" w:lineRule="auto"/>
    </w:pPr>
    <w:rPr>
      <w:color w:val="2F2F2F"/>
      <w:sz w:val="20"/>
      <w:szCs w:val="20"/>
    </w:rPr>
  </w:style>
  <w:style w:type="paragraph" w:customStyle="1" w:styleId="SubHeader">
    <w:name w:val="Sub Header"/>
    <w:pPr>
      <w:spacing w:before="140" w:after="60"/>
    </w:pPr>
    <w:rPr>
      <w:b/>
      <w:bCs/>
      <w:color w:val="1F4E79"/>
    </w:rPr>
  </w:style>
  <w:style w:type="paragraph" w:customStyle="1" w:styleId="NoteText">
    <w:name w:val="Note Text"/>
    <w:pPr>
      <w:spacing w:after="80"/>
    </w:pPr>
    <w:rPr>
      <w:i/>
      <w:iCs/>
      <w:color w:val="59595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5015</Words>
  <Characters>28587</Characters>
  <Application>Microsoft Office Word</Application>
  <DocSecurity>0</DocSecurity>
  <Lines>238</Lines>
  <Paragraphs>67</Paragraphs>
  <ScaleCrop>false</ScaleCrop>
  <Company/>
  <LinksUpToDate>false</LinksUpToDate>
  <CharactersWithSpaces>33535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Burciaga, Carlos</cp:lastModifiedBy>
  <cp:revision>2</cp:revision>
  <dcterms:created xsi:type="dcterms:W3CDTF">2026-04-10T22:32:00Z</dcterms:created>
  <dcterms:modified xsi:type="dcterms:W3CDTF">2026-04-10T22:32:00Z</dcterms:modified>
</cp:coreProperties>
</file>