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4472C4"/>
          <w:sz w:val="32"/>
          <w:szCs w:val="32"/>
        </w:rPr>
        <w:t xml:space="preserve">WWRGD VendorIQ — Leadership Demo</w:t>
      </w:r>
    </w:p>
    <w:p>
      <w:pPr>
        <w:spacing w:after="50"/>
        <w:jc w:val="center"/>
      </w:pPr>
      <w:r>
        <w:rPr>
          <w:color w:val="666666"/>
          <w:sz w:val="22"/>
          <w:szCs w:val="22"/>
        </w:rPr>
        <w:t xml:space="preserve">Duration: 30 Minutes</w:t>
      </w:r>
    </w:p>
    <w:p>
      <w:pPr>
        <w:spacing w:after="300"/>
        <w:jc w:val="center"/>
      </w:pPr>
      <w:r>
        <w:rPr>
          <w:i/>
          <w:iCs/>
          <w:color w:val="999999"/>
          <w:sz w:val="18"/>
          <w:szCs w:val="18"/>
        </w:rPr>
        <w:t xml:space="preserve">CONFIDENTIAL — INTERNAL USE ONLY</w:t>
      </w:r>
    </w:p>
    <w:p>
      <w:pPr>
        <w:pStyle w:val="Heading2"/>
        <w:pBdr>
          <w:bottom w:val="single" w:color="ff9900" w:sz="2"/>
        </w:pBdr>
        <w:spacing w:after="80" w:before="250"/>
      </w:pPr>
      <w:r>
        <w:rPr>
          <w:b/>
          <w:bCs/>
          <w:color w:val="4472C4"/>
          <w:sz w:val="24"/>
          <w:szCs w:val="24"/>
        </w:rPr>
        <w:t xml:space="preserve">1. What is VendorIQ? (2 min)</w:t>
      </w:r>
    </w:p>
    <w:p>
      <w:pPr>
        <w:spacing w:after="30"/>
        <w:ind w:left="360"/>
      </w:pPr>
      <w:r>
        <w:rPr>
          <w:sz w:val="20"/>
          <w:szCs w:val="20"/>
        </w:rPr>
        <w:t xml:space="preserve">• AI-powered vendor lifecycle management platform for WWRGD</w:t>
      </w:r>
    </w:p>
    <w:p>
      <w:pPr>
        <w:spacing w:after="30"/>
        <w:ind w:left="360"/>
      </w:pPr>
      <w:r>
        <w:rPr>
          <w:sz w:val="20"/>
          <w:szCs w:val="20"/>
        </w:rPr>
        <w:t xml:space="preserve">• Single tool covering risk assessment, approvals, onboarding, performance tracking, and analytics</w:t>
      </w:r>
    </w:p>
    <w:p>
      <w:pPr>
        <w:spacing w:after="30"/>
        <w:ind w:left="360"/>
      </w:pPr>
      <w:r>
        <w:rPr>
          <w:sz w:val="20"/>
          <w:szCs w:val="20"/>
        </w:rPr>
        <w:t xml:space="preserve">• Live today, accessible via Midway — no software install needed</w:t>
      </w:r>
    </w:p>
    <w:p>
      <w:pPr>
        <w:pStyle w:val="Heading2"/>
        <w:pBdr>
          <w:bottom w:val="single" w:color="ff9900" w:sz="2"/>
        </w:pBdr>
        <w:spacing w:after="80" w:before="250"/>
      </w:pPr>
      <w:r>
        <w:rPr>
          <w:b/>
          <w:bCs/>
          <w:color w:val="4472C4"/>
          <w:sz w:val="24"/>
          <w:szCs w:val="24"/>
        </w:rPr>
        <w:t xml:space="preserve">2. Platform Walkthrough — Tab by Tab (12 min)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b/>
                <w:bCs/>
                <w:sz w:val="18"/>
                <w:szCs w:val="18"/>
              </w:rPr>
              <w:t xml:space="preserve">Tab</w:t>
            </w:r>
          </w:p>
        </w:tc>
        <w:tc>
          <w:tcPr>
            <w:tcW w:type="pct" w:w="33%"/>
          </w:tcPr>
          <w:p>
            <w:r>
              <w:rPr>
                <w:b/>
                <w:bCs/>
                <w:sz w:val="18"/>
                <w:szCs w:val="18"/>
              </w:rPr>
              <w:t xml:space="preserve">What It Does</w:t>
            </w:r>
          </w:p>
        </w:tc>
        <w:tc>
          <w:tcPr>
            <w:tcW w:type="pct" w:w="33%"/>
          </w:tcPr>
          <w:p>
            <w:r>
              <w:rPr>
                <w:b/>
                <w:bCs/>
                <w:sz w:val="18"/>
                <w:szCs w:val="18"/>
              </w:rPr>
              <w:t xml:space="preserve">Who Uses It</w:t>
            </w:r>
          </w:p>
        </w:tc>
      </w:tr>
      <w:tr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Single Vendor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Upload RFI + supporting docs → AI scores vendor across 6 categories (400-point matrix) → auto-screens 7 Critical Risk Indicators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Category Manager / Evaluator</w:t>
            </w:r>
          </w:p>
        </w:tc>
      </w:tr>
      <w:tr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Vendor Master DB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Central registry of all vendors — 18-column view, search/filter, Report Center (14 report types), approval workflow, vendor files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Everyone (role-based)</w:t>
            </w:r>
          </w:p>
        </w:tc>
      </w:tr>
      <w:tr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Vendor Onboarding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Intake form → auto-creates vendor record → triggers notifications → tracks SOA pipeline status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Anyone submits; Admin manages</w:t>
            </w:r>
          </w:p>
        </w:tc>
      </w:tr>
      <w:tr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GC Performance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CPMs score GC performance per project (10 KPIs + CPI/SPI) → aggregates into Performance Score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CPMs</w:t>
            </w:r>
          </w:p>
        </w:tc>
      </w:tr>
      <w:tr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Analytics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Three dashboards: Risk Assessment, Intake/Onboarding, GC Performance with project drill-down</w:t>
            </w:r>
          </w:p>
        </w:tc>
        <w:tc>
          <w:tcPr>
            <w:tcW w:type="pct" w:w="33%"/>
          </w:tcPr>
          <w:p>
            <w:r>
              <w:rPr>
                <w:sz w:val="18"/>
                <w:szCs w:val="18"/>
              </w:rPr>
              <w:t xml:space="preserve">Managers / Admin</w:t>
            </w:r>
          </w:p>
        </w:tc>
      </w:tr>
    </w:tbl>
    <w:p>
      <w:pPr>
        <w:pStyle w:val="Heading2"/>
        <w:pBdr>
          <w:bottom w:val="single" w:color="ff9900" w:sz="2"/>
        </w:pBdr>
        <w:spacing w:after="80" w:before="250"/>
      </w:pPr>
      <w:r>
        <w:rPr>
          <w:b/>
          <w:bCs/>
          <w:color w:val="4472C4"/>
          <w:sz w:val="24"/>
          <w:szCs w:val="24"/>
        </w:rPr>
        <w:t xml:space="preserve">3. Roles &amp; Workflow (5 min)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Approvers (L7s): </w:t>
      </w:r>
      <w:r>
        <w:rPr>
          <w:sz w:val="20"/>
          <w:szCs w:val="20"/>
        </w:rPr>
        <w:t xml:space="preserve">Receive email with assessment summary + optional report attachments → review in app → approve/deny using Midway alias (no passwords) → Decision Summary DOCX auto-generated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CPMs: </w:t>
      </w:r>
      <w:r>
        <w:rPr>
          <w:sz w:val="20"/>
          <w:szCs w:val="20"/>
        </w:rPr>
        <w:t xml:space="preserve">Enter GC performance scorecards per project → view Vendor DB (read-only) → view Analytics → submit intake forms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Category Manager / Evaluator: </w:t>
      </w:r>
      <w:r>
        <w:rPr>
          <w:sz w:val="20"/>
          <w:szCs w:val="20"/>
        </w:rPr>
        <w:t xml:space="preserve">Runs risk assessments, uploads RFIs, overrides scores, generates reports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Viewers: </w:t>
      </w:r>
      <w:r>
        <w:rPr>
          <w:sz w:val="20"/>
          <w:szCs w:val="20"/>
        </w:rPr>
        <w:t xml:space="preserve">Read-only access to Vendor DB and reports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Auto-approval: </w:t>
      </w:r>
      <w:r>
        <w:rPr>
          <w:sz w:val="20"/>
          <w:szCs w:val="20"/>
        </w:rPr>
        <w:t xml:space="preserve">Low Risk vendors (≥320/400, all CRIs pass) approved automatically by the system</w:t>
      </w:r>
    </w:p>
    <w:p>
      <w:pPr>
        <w:pStyle w:val="Heading2"/>
        <w:pBdr>
          <w:bottom w:val="single" w:color="ff9900" w:sz="2"/>
        </w:pBdr>
        <w:spacing w:after="80" w:before="250"/>
      </w:pPr>
      <w:r>
        <w:rPr>
          <w:b/>
          <w:bCs/>
          <w:color w:val="4472C4"/>
          <w:sz w:val="24"/>
          <w:szCs w:val="24"/>
        </w:rPr>
        <w:t xml:space="preserve">4. Vendor Intake Integration — Christine Mucker (5 min)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Current state: </w:t>
      </w:r>
      <w:r>
        <w:rPr>
          <w:sz w:val="20"/>
          <w:szCs w:val="20"/>
        </w:rPr>
        <w:t xml:space="preserve">Smartsheet intake form managed by Kimberly's team, recently consolidated with operational intakes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Proposal: </w:t>
      </w:r>
      <w:r>
        <w:rPr>
          <w:sz w:val="20"/>
          <w:szCs w:val="20"/>
        </w:rPr>
        <w:t xml:space="preserve">Vendor-specific intakes move to VendorIQ — eliminates double entry, connects to risk assessment and SOA pipeline — with data pushed back to Christine's consolidated dashboard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GC benefit: </w:t>
      </w:r>
      <w:r>
        <w:rPr>
          <w:sz w:val="20"/>
          <w:szCs w:val="20"/>
        </w:rPr>
        <w:t xml:space="preserve">Mandatory risk assessment gate before intake submission prevents unvetted GCs from entering the pipeline</w:t>
      </w:r>
    </w:p>
    <w:p>
      <w:pPr>
        <w:spacing w:after="30"/>
        <w:ind w:left="360"/>
      </w:pPr>
      <w:r>
        <w:rPr>
          <w:b/>
          <w:bCs/>
          <w:sz w:val="20"/>
          <w:szCs w:val="20"/>
        </w:rPr>
        <w:t xml:space="preserve">• Expansion: </w:t>
      </w:r>
      <w:r>
        <w:rPr>
          <w:sz w:val="20"/>
          <w:szCs w:val="20"/>
        </w:rPr>
        <w:t xml:space="preserve">Architecture, Design, and other construction vendor types follow the same workflow</w:t>
      </w:r>
    </w:p>
    <w:p>
      <w:pPr>
        <w:pStyle w:val="Heading2"/>
        <w:pBdr>
          <w:bottom w:val="single" w:color="ff9900" w:sz="2"/>
        </w:pBdr>
        <w:spacing w:after="80" w:before="250"/>
      </w:pPr>
      <w:r>
        <w:rPr>
          <w:b/>
          <w:bCs/>
          <w:color w:val="4472C4"/>
          <w:sz w:val="24"/>
          <w:szCs w:val="24"/>
        </w:rPr>
        <w:t xml:space="preserve">5. GC Scorecard for CPMs (3 min)</w:t>
      </w:r>
    </w:p>
    <w:p>
      <w:pPr>
        <w:spacing w:after="30"/>
        <w:ind w:left="360"/>
      </w:pPr>
      <w:r>
        <w:rPr>
          <w:sz w:val="20"/>
          <w:szCs w:val="20"/>
        </w:rPr>
        <w:t xml:space="preserve">• Quick demo: select vendor → enter project/store → score 10 KPIs → CPI/SPI auto-calculator with reference benchmarks</w:t>
      </w:r>
    </w:p>
    <w:p>
      <w:pPr>
        <w:spacing w:after="30"/>
        <w:ind w:left="360"/>
      </w:pPr>
      <w:r>
        <w:rPr>
          <w:sz w:val="20"/>
          <w:szCs w:val="20"/>
        </w:rPr>
        <w:t xml:space="preserve">• Procore Project ID field ready for future API integration (auto-fill quantitative metrics from Procore)</w:t>
      </w:r>
    </w:p>
    <w:p>
      <w:pPr>
        <w:spacing w:after="30"/>
        <w:ind w:left="360"/>
      </w:pPr>
      <w:r>
        <w:rPr>
          <w:sz w:val="20"/>
          <w:szCs w:val="20"/>
        </w:rPr>
        <w:t xml:space="preserve">• Analytics: performance by vendor, by project, by format — identifies top and bottom performers</w:t>
      </w:r>
    </w:p>
    <w:p>
      <w:pPr>
        <w:pStyle w:val="Heading2"/>
        <w:pBdr>
          <w:bottom w:val="single" w:color="ff9900" w:sz="2"/>
        </w:pBdr>
        <w:spacing w:after="80" w:before="250"/>
      </w:pPr>
      <w:r>
        <w:rPr>
          <w:b/>
          <w:bCs/>
          <w:color w:val="4472C4"/>
          <w:sz w:val="24"/>
          <w:szCs w:val="24"/>
        </w:rPr>
        <w:t xml:space="preserve">6. Next Steps &amp; Ask (3 min)</w:t>
      </w:r>
    </w:p>
    <w:p>
      <w:pPr>
        <w:spacing w:after="30"/>
        <w:ind w:left="360"/>
      </w:pPr>
      <w:r>
        <w:rPr>
          <w:sz w:val="20"/>
          <w:szCs w:val="20"/>
        </w:rPr>
        <w:t xml:space="preserve">• Assign approver roles (3 L7s) and CPM roles in the system</w:t>
      </w:r>
    </w:p>
    <w:p>
      <w:pPr>
        <w:spacing w:after="30"/>
        <w:ind w:left="360"/>
      </w:pPr>
      <w:r>
        <w:rPr>
          <w:sz w:val="20"/>
          <w:szCs w:val="20"/>
        </w:rPr>
        <w:t xml:space="preserve">• Align with Christine on vendor intake integration approach</w:t>
      </w:r>
    </w:p>
    <w:p>
      <w:pPr>
        <w:spacing w:after="30"/>
        <w:ind w:left="360"/>
      </w:pPr>
      <w:r>
        <w:rPr>
          <w:sz w:val="20"/>
          <w:szCs w:val="20"/>
        </w:rPr>
        <w:t xml:space="preserve">• Pilot GC scorecard with 3–5 active projects</w:t>
      </w:r>
    </w:p>
    <w:p>
      <w:pPr>
        <w:spacing w:after="30"/>
        <w:ind w:left="360"/>
      </w:pPr>
      <w:r>
        <w:rPr>
          <w:sz w:val="20"/>
          <w:szCs w:val="20"/>
        </w:rPr>
        <w:t xml:space="preserve">• Timeline for Procore API integration</w:t>
      </w:r>
    </w:p>
    <w:p>
      <w:pPr>
        <w:spacing w:before="300"/>
      </w:pPr>
    </w:p>
    <w:p>
      <w:pPr>
        <w:jc w:val="center"/>
      </w:pPr>
      <w:r>
        <w:rPr>
          <w:color w:val="3498db"/>
          <w:sz w:val="18"/>
          <w:szCs w:val="18"/>
        </w:rPr>
        <w:t xml:space="preserve">App: http://wwrgd-risk-assessor-1860518450.us-west-2.elb.amazonaws.com</w:t>
      </w:r>
    </w:p>
    <w:p>
      <w:pPr>
        <w:spacing w:before="200"/>
        <w:jc w:val="center"/>
      </w:pPr>
      <w:r>
        <w:rPr>
          <w:i/>
          <w:iCs/>
          <w:color w:val="999999"/>
          <w:sz w:val="16"/>
          <w:szCs w:val="16"/>
        </w:rPr>
        <w:t xml:space="preserve">WWRGD VendorIQ | Worldwide Retail Growth &amp; Development | CONFIDENTIAL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2026-05-02T01:55:42.300Z</dcterms:created>
  <dcterms:modified xsi:type="dcterms:W3CDTF">2026-05-02T01:55:42.300Z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