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4472C4"/>
          <w:sz w:val="32"/>
          <w:szCs w:val="32"/>
        </w:rPr>
        <w:t xml:space="preserve">WWRGD VendorIQ — Quick Reference Guide</w:t>
      </w:r>
    </w:p>
    <w:p>
      <w:pPr>
        <w:spacing w:after="50"/>
        <w:jc w:val="center"/>
      </w:pPr>
      <w:r>
        <w:rPr>
          <w:color w:val="666666"/>
          <w:sz w:val="22"/>
          <w:szCs w:val="22"/>
        </w:rPr>
        <w:t xml:space="preserve">Risk Assessment &amp; GC Performance Scoring Criteria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| May 2026</w:t>
      </w:r>
    </w:p>
    <w:p>
      <w:pPr>
        <w:pBdr>
          <w:bottom w:val="single" w:color="ff9900" w:sz="2"/>
        </w:pBdr>
        <w:spacing w:after="100" w:before="300"/>
      </w:pPr>
      <w:r>
        <w:rPr>
          <w:b/>
          <w:bCs/>
          <w:color w:val="4472C4"/>
          <w:sz w:val="24"/>
          <w:szCs w:val="24"/>
        </w:rPr>
        <w:t xml:space="preserve">Risk Assessment — 6 Weighted Categories (400 Points)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Category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Weight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Max Pts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Score 4 (Excellent)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Score 1 (Poor)</w:t>
            </w:r>
          </w:p>
        </w:tc>
      </w:tr>
      <w:tr>
        <w:tc>
          <w:tcPr>
            <w:tcW w:type="pct" w:w="20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Financial Stability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30%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120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D/E &lt; 0.5, clean audit, strong cash flow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Negative cash flow, D/E &gt; 2, going concern</w:t>
            </w:r>
          </w:p>
        </w:tc>
      </w:tr>
      <w:tr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Safety Performance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20%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80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EMR &lt; 0.85, TRIR &lt; 1.0, zero violations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EMR &gt; 1.2, TRIR &gt; 3.0, willful violations</w:t>
            </w:r>
          </w:p>
        </w:tc>
      </w:tr>
      <w:tr>
        <w:tc>
          <w:tcPr>
            <w:tcW w:type="pct" w:w="20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Quality / Performance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20%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80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CPI &gt; 0.95, SPI &gt; 0.95, 90%+ retention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CPI &lt; 0.85, SPI &lt; 0.85, project failures</w:t>
            </w:r>
          </w:p>
        </w:tc>
      </w:tr>
      <w:tr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Operational Capacity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20%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80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Utilization &lt; 70%, deep bench, scalable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Utilization &gt; 95%, no bench, overextended</w:t>
            </w:r>
          </w:p>
        </w:tc>
      </w:tr>
      <w:tr>
        <w:tc>
          <w:tcPr>
            <w:tcW w:type="pct" w:w="20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Compliance Record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5%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20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Zero violations, third-party audits, certs</w:t>
            </w:r>
          </w:p>
        </w:tc>
        <w:tc>
          <w:tcPr>
            <w:tcW w:type="pct" w:w="20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Significant violations, no compliance program</w:t>
            </w:r>
          </w:p>
        </w:tc>
      </w:tr>
      <w:tr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Technology Capabilities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5%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20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BIM, Procore, SOC 2, real-time reporting</w:t>
            </w:r>
          </w:p>
        </w:tc>
        <w:tc>
          <w:tcPr>
            <w:tcW w:type="pct" w:w="20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Paper-based, no cybersecurity, no systems</w:t>
            </w:r>
          </w:p>
        </w:tc>
      </w:tr>
    </w:tbl>
    <w:p>
      <w:pPr>
        <w:spacing w:before="100"/>
      </w:pPr>
    </w:p>
    <w:p>
      <w:pPr>
        <w:pBdr>
          <w:bottom w:val="single" w:color="ff9900" w:sz="2"/>
        </w:pBdr>
        <w:spacing w:after="100" w:before="300"/>
      </w:pPr>
      <w:r>
        <w:rPr>
          <w:b/>
          <w:bCs/>
          <w:color w:val="4472C4"/>
          <w:sz w:val="24"/>
          <w:szCs w:val="24"/>
        </w:rPr>
        <w:t xml:space="preserve">7 Critical Risk Indicators (Pass/Fail — Any FAIL = Disqualified)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Indicator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Disqualification Threshold</w:t>
            </w:r>
          </w:p>
        </w:tc>
      </w:tr>
      <w:tr>
        <w:tc>
          <w:tcPr>
            <w:tcW w:type="pct" w:w="33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CRI-1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Active Litigation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Exceeding $5,000,000 in active/pending claims</w:t>
            </w:r>
          </w:p>
        </w:tc>
      </w:tr>
      <w:tr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CRI-2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OSHA Violations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Willful or repeat violations within 3 years</w:t>
            </w:r>
          </w:p>
        </w:tc>
      </w:tr>
      <w:tr>
        <w:tc>
          <w:tcPr>
            <w:tcW w:type="pct" w:w="33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CRI-3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Financial Distress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Negative cash flow or covenant violations</w:t>
            </w:r>
          </w:p>
        </w:tc>
      </w:tr>
      <w:tr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CRI-4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Debarment Status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Any federal, state, or local debarment</w:t>
            </w:r>
          </w:p>
        </w:tc>
      </w:tr>
      <w:tr>
        <w:tc>
          <w:tcPr>
            <w:tcW w:type="pct" w:w="33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CRI-5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Safety Metrics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EMR &gt; 1.2 or TRIR &gt; 3.0</w:t>
            </w:r>
          </w:p>
        </w:tc>
      </w:tr>
      <w:tr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CRI-6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Bond/Insurance</w:t>
            </w:r>
          </w:p>
        </w:tc>
        <w:tc>
          <w:tcPr>
            <w:tcW w:type="pct" w:w="33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Insufficient capacity for project scope</w:t>
            </w:r>
          </w:p>
        </w:tc>
      </w:tr>
      <w:tr>
        <w:tc>
          <w:tcPr>
            <w:tcW w:type="pct" w:w="33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CRI-7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License Status</w:t>
            </w:r>
          </w:p>
        </w:tc>
        <w:tc>
          <w:tcPr>
            <w:tcW w:type="pct" w:w="33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Expired or suspended licenses</w:t>
            </w:r>
          </w:p>
        </w:tc>
      </w:tr>
    </w:tbl>
    <w:p>
      <w:pPr>
        <w:spacing w:before="100"/>
      </w:pPr>
    </w:p>
    <w:p>
      <w:pPr>
        <w:pBdr>
          <w:bottom w:val="single" w:color="ff9900" w:sz="2"/>
        </w:pBdr>
        <w:spacing w:after="100" w:before="300"/>
      </w:pPr>
      <w:r>
        <w:rPr>
          <w:b/>
          <w:bCs/>
          <w:color w:val="4472C4"/>
          <w:sz w:val="24"/>
          <w:szCs w:val="24"/>
        </w:rPr>
        <w:t xml:space="preserve">Risk Tier Classification &amp; Approval Authority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Risk Tier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Score Range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Decision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Approval Authority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Low Risk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320–400 (80–100%)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Auto-Approved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System (Category Manager / L6)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Medium Risk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240–319 (60–79%)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Conditional Approval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Executive Leader / L7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High Risk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160–239 (40–59%)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Executive Review Required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Director / L8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5B7B1"/>
                <w:bCs w:val="F5B7B1"/>
                <w:color w:val="FFFFFF"/>
                <w:sz w:val="17"/>
                <w:szCs w:val="17"/>
              </w:rPr>
              <w:t xml:space="preserve">Critical Risk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5B7B1"/>
                <w:bCs w:val="F5B7B1"/>
                <w:color w:val="FFFFFF"/>
                <w:sz w:val="17"/>
                <w:szCs w:val="17"/>
              </w:rPr>
              <w:t xml:space="preserve">&lt; 160 (&lt; 40%)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5B7B1"/>
                <w:bCs w:val="F5B7B1"/>
                <w:color w:val="FFFFFF"/>
                <w:sz w:val="17"/>
                <w:szCs w:val="17"/>
              </w:rPr>
              <w:t xml:space="preserve">Not Recommended / Disqualify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5B7B1"/>
                <w:bCs w:val="F5B7B1"/>
                <w:color w:val="FFFFFF"/>
                <w:sz w:val="17"/>
                <w:szCs w:val="17"/>
              </w:rPr>
              <w:t xml:space="preserve">Disqualify</w:t>
            </w:r>
          </w:p>
        </w:tc>
      </w:tr>
    </w:tbl>
    <w:p>
      <w:pPr>
        <w:spacing w:before="100"/>
      </w:pPr>
    </w:p>
    <w:p>
      <w:pPr>
        <w:pBdr>
          <w:bottom w:val="single" w:color="ff9900" w:sz="2"/>
        </w:pBdr>
        <w:spacing w:after="100" w:before="300"/>
      </w:pPr>
      <w:r>
        <w:rPr>
          <w:b/>
          <w:bCs/>
          <w:color w:val="4472C4"/>
          <w:sz w:val="24"/>
          <w:szCs w:val="24"/>
        </w:rPr>
        <w:t xml:space="preserve">GC Performance Scorecard — 10 KPIs (1–5 Scale)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5 (Outstanding)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3 (Meets)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1 (Poor)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Schedule Adherence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Ahead of schedule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On schedule (±5%)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Major delays (&gt;15%)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Budget Management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Under budget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On budget (±5%)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Major overrun (&gt;15%)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Quality of Work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Zero defects, exceeds spec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Meets spec, minor rework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Significant rework, failures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Safety Compliance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Zero incidents, proactive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Compliant, minor issues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Incidents, violations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Communication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Proactive, transparent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Responsive when asked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Unresponsive, surprises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Change Order Mgmt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Minimal COs, well-documented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Reasonable COs, documented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Excessive COs, disputes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Punch List Completion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100% on time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90%+ within deadline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Significant open items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Crew Staffing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Fully staffed, deep bench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Adequate staffing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Understaffed, delays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Site Cleanliness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Exemplary, audit-ready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Acceptable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Unsafe, disorganized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Documentation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Complete, real-time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Timely, minor gaps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8F9FA"/>
                <w:bCs w:val="F8F9FA"/>
                <w:color w:val="FFFFFF"/>
                <w:sz w:val="17"/>
                <w:szCs w:val="17"/>
              </w:rPr>
              <w:t xml:space="preserve">Missing, late, incomplete</w:t>
            </w:r>
          </w:p>
        </w:tc>
      </w:tr>
    </w:tbl>
    <w:p>
      <w:pPr>
        <w:spacing w:before="100"/>
      </w:pPr>
    </w:p>
    <w:p>
      <w:pPr>
        <w:pBdr>
          <w:bottom w:val="single" w:color="ff9900" w:sz="2"/>
        </w:pBdr>
        <w:spacing w:after="100" w:before="300"/>
      </w:pPr>
      <w:r>
        <w:rPr>
          <w:b/>
          <w:bCs/>
          <w:color w:val="4472C4"/>
          <w:sz w:val="24"/>
          <w:szCs w:val="24"/>
        </w:rPr>
        <w:t xml:space="preserve">CPI &amp; SPI Benchmarks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Rating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Score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CPI / SPI Range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Meaning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Excellent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&gt; 0.95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E8F8F0"/>
                <w:bCs w:val="E8F8F0"/>
                <w:color w:val="FFFFFF"/>
                <w:sz w:val="17"/>
                <w:szCs w:val="17"/>
              </w:rPr>
              <w:t xml:space="preserve">Under budget / Ahead of schedule</w:t>
            </w:r>
          </w:p>
        </w:tc>
      </w:tr>
      <w:tr>
        <w:tc>
          <w:tcPr>
            <w:tcW w:type="pct" w:w="25%"/>
          </w:tcPr>
          <w:p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Good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0.90 – 0.95</w:t>
            </w:r>
          </w:p>
        </w:tc>
        <w:tc>
          <w:tcPr>
            <w:tcW w:type="pct" w:w="25%"/>
          </w:tcPr>
          <w:p>
            <w:pPr>
              <w:spacing w:after="0"/>
            </w:pPr>
            <w:r>
              <w:rPr>
                <w:b w:val="false"/>
                <w:bCs w:val="false"/>
                <w:sz w:val="18"/>
                <w:szCs w:val="18"/>
              </w:rPr>
              <w:t xml:space="preserve">Slightly over/behind, manageable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Fair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0.85 – 0.90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EF9E7"/>
                <w:bCs w:val="FEF9E7"/>
                <w:color w:val="FFFFFF"/>
                <w:sz w:val="17"/>
                <w:szCs w:val="17"/>
              </w:rPr>
              <w:t xml:space="preserve">Significant variance, action needed</w:t>
            </w:r>
          </w:p>
        </w:tc>
      </w:tr>
      <w:tr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Poor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&lt; 0.85</w:t>
            </w:r>
          </w:p>
        </w:tc>
        <w:tc>
          <w:tcPr>
            <w:tcW w:type="pct" w:w="25%"/>
            <w:shd w:color="4472C4" w:val="solid"/>
          </w:tcPr>
          <w:p>
            <w:pPr>
              <w:spacing w:after="0"/>
            </w:pPr>
            <w:r>
              <w:rPr>
                <w:b w:val="FDE8E8"/>
                <w:bCs w:val="FDE8E8"/>
                <w:color w:val="FFFFFF"/>
                <w:sz w:val="17"/>
                <w:szCs w:val="17"/>
              </w:rPr>
              <w:t xml:space="preserve">Major overrun / delay</w:t>
            </w:r>
          </w:p>
        </w:tc>
      </w:tr>
    </w:tbl>
    <w:p>
      <w:pPr>
        <w:spacing w:after="60"/>
      </w:pPr>
      <w:r>
        <w:rPr>
          <w:sz w:val="20"/>
          <w:szCs w:val="20"/>
        </w:rPr>
        <w:t xml:space="preserve">CPI = Earned Value ÷ Actual Cost  |  SPI = Earned Value ÷ Planned Value  |  1.0 = On Target</w:t>
      </w:r>
    </w:p>
    <w:p>
      <w:pPr>
        <w:spacing w:before="4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2026-05-02T01:59:20.151Z</dcterms:created>
  <dcterms:modified xsi:type="dcterms:W3CDTF">2026-05-02T01:59:20.151Z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