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rPr>
          <w:trHeight w:val="936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WWRGD Vendor Onboarding Process Workflow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color w:val="B8C8E0"/>
                <w:sz w:val="16"/>
                <w:szCs w:val="16"/>
              </w:rPr>
              <w:t xml:space="preserve">End-to-End Vendor Onboarding – Visual Process Flow  |  WWRGD Operations &amp; Vendor Management  |  April 2025</w:t>
            </w:r>
          </w:p>
        </w:tc>
      </w:tr>
    </w:tbl>
    <w:p>
      <w:pPr>
        <w:spacing w:after="0" w:before="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2E75B6" w:sz="16"/>
              <w:left w:val="single" w:color="2E75B6" w:sz="16"/>
              <w:bottom w:val="single" w:color="2E75B6" w:sz="16"/>
              <w:right w:val="single" w:color="2E75B6" w:sz="16"/>
            </w:tcBorders>
            <w:shd w:fill="D6E4F7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1F5C9E" w:val="clear"/>
              </w:rPr>
              <w:t xml:space="preserve"> 1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Intake Form Submission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Vendor request submitted via email intake form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2E75B6" w:sz="16"/>
              <w:left w:val="single" w:color="2E75B6" w:sz="16"/>
              <w:bottom w:val="single" w:color="2E75B6" w:sz="16"/>
              <w:right w:val="single" w:color="2E75B6" w:sz="16"/>
            </w:tcBorders>
            <w:shd w:fill="D6E4F7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1F5C9E" w:val="clear"/>
              </w:rPr>
              <w:t xml:space="preserve"> 2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Intake Tracker Log – Initial Entry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Request logged in the WWRGD Intake Tracker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4CAF50" w:sz="16"/>
              <w:left w:val="single" w:color="4CAF50" w:sz="16"/>
              <w:bottom w:val="single" w:color="4CAF50" w:sz="16"/>
              <w:right w:val="single" w:color="4CAF50" w:sz="16"/>
            </w:tcBorders>
            <w:shd w:fill="D5EDD5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D32" w:val="clear"/>
              </w:rPr>
              <w:t xml:space="preserve"> 3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Insurance Verification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Vendor insurance documentation collected and verified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4CAF50" w:sz="16"/>
              <w:left w:val="single" w:color="4CAF50" w:sz="16"/>
              <w:bottom w:val="single" w:color="4CAF50" w:sz="16"/>
              <w:right w:val="single" w:color="4CAF50" w:sz="16"/>
            </w:tcBorders>
            <w:shd w:fill="D5EDD5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D32" w:val="clear"/>
              </w:rPr>
              <w:t xml:space="preserve"> 4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WF SOA Review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Wells Fargo Statement of Applicability reviewed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4CAF50" w:sz="16"/>
              <w:left w:val="single" w:color="4CAF50" w:sz="16"/>
              <w:bottom w:val="single" w:color="4CAF50" w:sz="16"/>
              <w:right w:val="single" w:color="4CAF50" w:sz="16"/>
            </w:tcBorders>
            <w:shd w:fill="D5EDD5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2E7D32" w:val="clear"/>
              </w:rPr>
              <w:t xml:space="preserve"> 5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Legal Documentation (CC·NDA·MSA·Prime/AIA)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Legal agreements executed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F57C00" w:sz="16"/>
              <w:left w:val="single" w:color="F57C00" w:sz="16"/>
              <w:bottom w:val="single" w:color="F57C00" w:sz="16"/>
              <w:right w:val="single" w:color="F57C00" w:sz="16"/>
            </w:tcBorders>
            <w:shd w:fill="FDE8CC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BF5700" w:val="clear"/>
              </w:rPr>
              <w:t xml:space="preserve"> 6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Workday Setup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Vendor profile entered into Workday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F57C00" w:sz="16"/>
              <w:left w:val="single" w:color="F57C00" w:sz="16"/>
              <w:bottom w:val="single" w:color="F57C00" w:sz="16"/>
              <w:right w:val="single" w:color="F57C00" w:sz="16"/>
            </w:tcBorders>
            <w:shd w:fill="FDE8CC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BF5700" w:val="clear"/>
              </w:rPr>
              <w:t xml:space="preserve"> 7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Coupa Setup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Vendor configured in Coupa procurement platform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F57C00" w:sz="16"/>
              <w:left w:val="single" w:color="F57C00" w:sz="16"/>
              <w:bottom w:val="single" w:color="F57C00" w:sz="16"/>
              <w:right w:val="single" w:color="F57C00" w:sz="16"/>
            </w:tcBorders>
            <w:shd w:fill="FDE8CC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BF5700" w:val="clear"/>
              </w:rPr>
              <w:t xml:space="preserve"> 8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Procore Setup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Vendor access provisioned in Procore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7B2FBE" w:sz="16"/>
              <w:left w:val="single" w:color="7B2FBE" w:sz="16"/>
              <w:bottom w:val="single" w:color="7B2FBE" w:sz="16"/>
              <w:right w:val="single" w:color="7B2FBE" w:sz="16"/>
            </w:tcBorders>
            <w:shd w:fill="EDE0F5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5B1A94" w:val="clear"/>
              </w:rPr>
              <w:t xml:space="preserve"> 9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Amazon Payee Central – Coupa Integration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Payment processing configured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16" w:before="16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▼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rHeight w:val="792" w:hRule="exact"/>
        </w:trPr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7776"/>
            <w:tcBorders>
              <w:top w:val="single" w:color="2E75B6" w:sz="16"/>
              <w:left w:val="single" w:color="2E75B6" w:sz="16"/>
              <w:bottom w:val="single" w:color="2E75B6" w:sz="16"/>
              <w:right w:val="single" w:color="2E75B6" w:sz="16"/>
            </w:tcBorders>
            <w:shd w:fill="D6E4F7" w:val="clear"/>
            <w:vAlign w:val="center"/>
          </w:tcPr>
          <w:p>
            <w:pPr>
              <w:spacing w:after="10" w:before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  <w:shd w:fill="1F5C9E" w:val="clear"/>
              </w:rPr>
              <w:t xml:space="preserve"> 10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7"/>
                <w:szCs w:val="17"/>
              </w:rPr>
              <w:t xml:space="preserve">Intake Tracker Log – Final Update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4444"/>
                <w:sz w:val="14"/>
                <w:szCs w:val="14"/>
              </w:rPr>
              <w:t xml:space="preserve">Completion logged; vendor confirmed as fully onboarded</w:t>
            </w:r>
          </w:p>
        </w:tc>
        <w:tc>
          <w:tcPr>
            <w:tcW w:type="dxa" w:w="33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after="0" w:before="50"/>
      </w:pPr>
    </w:p>
    <w:p>
      <w:pPr>
        <w:spacing w:after="10" w:before="10"/>
        <w:jc w:val="center"/>
      </w:pPr>
      <w:r>
        <w:rPr>
          <w:rFonts w:ascii="Calibri" w:cs="Calibri" w:eastAsia="Calibri" w:hAnsi="Calibri"/>
          <w:b/>
          <w:bCs/>
          <w:caps/>
          <w:color w:val="1B2A4A"/>
          <w:sz w:val="16"/>
          <w:szCs w:val="16"/>
        </w:rPr>
        <w:t xml:space="preserve">LEGEND</w:t>
      </w:r>
    </w:p>
    <w:p>
      <w:pPr>
        <w:spacing w:after="0" w:before="16"/>
        <w:jc w:val="center"/>
      </w:pPr>
      <w:r>
        <w:rPr>
          <w:rFonts w:ascii="Calibri" w:cs="Calibri" w:eastAsia="Calibri" w:hAnsi="Calibri"/>
          <w:b/>
          <w:bCs/>
          <w:color w:val="2E75B6"/>
          <w:sz w:val="18"/>
          <w:szCs w:val="18"/>
        </w:rPr>
        <w:t xml:space="preserve">  ■  </w:t>
      </w:r>
      <w:r>
        <w:rPr>
          <w:rFonts w:ascii="Calibri" w:cs="Calibri" w:eastAsia="Calibri" w:hAnsi="Calibri"/>
          <w:b/>
          <w:bCs/>
          <w:color w:val="2E75B6"/>
          <w:sz w:val="16"/>
          <w:szCs w:val="16"/>
        </w:rPr>
        <w:t xml:space="preserve">Blue</w:t>
      </w:r>
      <w:r>
        <w:rPr>
          <w:rFonts w:ascii="Calibri" w:cs="Calibri" w:eastAsia="Calibri" w:hAnsi="Calibri"/>
          <w:color w:val="333333"/>
          <w:sz w:val="16"/>
          <w:szCs w:val="16"/>
        </w:rPr>
        <w:t xml:space="preserve"> – Intake &amp; Tracking</w:t>
      </w:r>
    </w:p>
    <w:p>
      <w:pPr>
        <w:spacing w:after="0" w:before="16"/>
        <w:jc w:val="center"/>
      </w:pPr>
      <w:r>
        <w:rPr>
          <w:rFonts w:ascii="Calibri" w:cs="Calibri" w:eastAsia="Calibri" w:hAnsi="Calibri"/>
          <w:b/>
          <w:bCs/>
          <w:color w:val="4CAF50"/>
          <w:sz w:val="18"/>
          <w:szCs w:val="18"/>
        </w:rPr>
        <w:t xml:space="preserve">  ■  </w:t>
      </w:r>
      <w:r>
        <w:rPr>
          <w:rFonts w:ascii="Calibri" w:cs="Calibri" w:eastAsia="Calibri" w:hAnsi="Calibri"/>
          <w:b/>
          <w:bCs/>
          <w:color w:val="4CAF50"/>
          <w:sz w:val="16"/>
          <w:szCs w:val="16"/>
        </w:rPr>
        <w:t xml:space="preserve">Green</w:t>
      </w:r>
      <w:r>
        <w:rPr>
          <w:rFonts w:ascii="Calibri" w:cs="Calibri" w:eastAsia="Calibri" w:hAnsi="Calibri"/>
          <w:color w:val="333333"/>
          <w:sz w:val="16"/>
          <w:szCs w:val="16"/>
        </w:rPr>
        <w:t xml:space="preserve"> – Compliance &amp; Legal</w:t>
      </w:r>
    </w:p>
    <w:p>
      <w:pPr>
        <w:spacing w:after="0" w:before="16"/>
        <w:jc w:val="center"/>
      </w:pPr>
      <w:r>
        <w:rPr>
          <w:rFonts w:ascii="Calibri" w:cs="Calibri" w:eastAsia="Calibri" w:hAnsi="Calibri"/>
          <w:b/>
          <w:bCs/>
          <w:color w:val="F57C00"/>
          <w:sz w:val="18"/>
          <w:szCs w:val="18"/>
        </w:rPr>
        <w:t xml:space="preserve">  ■  </w:t>
      </w:r>
      <w:r>
        <w:rPr>
          <w:rFonts w:ascii="Calibri" w:cs="Calibri" w:eastAsia="Calibri" w:hAnsi="Calibri"/>
          <w:b/>
          <w:bCs/>
          <w:color w:val="F57C00"/>
          <w:sz w:val="16"/>
          <w:szCs w:val="16"/>
        </w:rPr>
        <w:t xml:space="preserve">Orange</w:t>
      </w:r>
      <w:r>
        <w:rPr>
          <w:rFonts w:ascii="Calibri" w:cs="Calibri" w:eastAsia="Calibri" w:hAnsi="Calibri"/>
          <w:color w:val="333333"/>
          <w:sz w:val="16"/>
          <w:szCs w:val="16"/>
        </w:rPr>
        <w:t xml:space="preserve"> – System Configuration</w:t>
      </w:r>
    </w:p>
    <w:p>
      <w:pPr>
        <w:spacing w:after="0" w:before="16"/>
        <w:jc w:val="center"/>
      </w:pPr>
      <w:r>
        <w:rPr>
          <w:rFonts w:ascii="Calibri" w:cs="Calibri" w:eastAsia="Calibri" w:hAnsi="Calibri"/>
          <w:b/>
          <w:bCs/>
          <w:color w:val="7B2FBE"/>
          <w:sz w:val="18"/>
          <w:szCs w:val="18"/>
        </w:rPr>
        <w:t xml:space="preserve">  ■  </w:t>
      </w:r>
      <w:r>
        <w:rPr>
          <w:rFonts w:ascii="Calibri" w:cs="Calibri" w:eastAsia="Calibri" w:hAnsi="Calibri"/>
          <w:b/>
          <w:bCs/>
          <w:color w:val="7B2FBE"/>
          <w:sz w:val="16"/>
          <w:szCs w:val="16"/>
        </w:rPr>
        <w:t xml:space="preserve">Purple</w:t>
      </w:r>
      <w:r>
        <w:rPr>
          <w:rFonts w:ascii="Calibri" w:cs="Calibri" w:eastAsia="Calibri" w:hAnsi="Calibri"/>
          <w:color w:val="333333"/>
          <w:sz w:val="16"/>
          <w:szCs w:val="16"/>
        </w:rPr>
        <w:t xml:space="preserve"> – Payment Integration</w:t>
      </w:r>
    </w:p>
    <w:p>
      <w:pPr>
        <w:spacing w:after="0" w:before="30"/>
      </w:pPr>
    </w:p>
    <w:p>
      <w:pPr>
        <w:spacing w:after="8" w:before="10"/>
        <w:jc w:val="center"/>
      </w:pPr>
      <w:r>
        <w:rPr>
          <w:rFonts w:ascii="Calibri" w:cs="Calibri" w:eastAsia="Calibri" w:hAnsi="Calibri"/>
          <w:b/>
          <w:bCs/>
          <w:caps/>
          <w:color w:val="1B2A4A"/>
          <w:sz w:val="15"/>
          <w:szCs w:val="15"/>
        </w:rPr>
        <w:t xml:space="preserve">KEY SYSTEMS: </w:t>
      </w:r>
      <w:r>
        <w:rPr>
          <w:rFonts w:ascii="Calibri" w:cs="Calibri" w:eastAsia="Calibri" w:hAnsi="Calibri"/>
          <w:color w:val="333333"/>
          <w:sz w:val="15"/>
          <w:szCs w:val="15"/>
        </w:rPr>
        <w:t xml:space="preserve">Smartsheet  |  Workday  |  Coupa  |  Procore  |  Amazon Payee Central</w:t>
      </w:r>
    </w:p>
    <w:p>
      <w:pPr>
        <w:spacing w:after="0" w:before="12"/>
        <w:jc w:val="center"/>
      </w:pPr>
      <w:r>
        <w:rPr>
          <w:rFonts w:ascii="Calibri" w:cs="Calibri" w:eastAsia="Calibri" w:hAnsi="Calibri"/>
          <w:b/>
          <w:bCs/>
          <w:color w:val="B8860B"/>
          <w:sz w:val="14"/>
          <w:szCs w:val="14"/>
        </w:rPr>
        <w:t xml:space="preserve">⚠ All steps are mandatory and sequential. No step may be bypassed without written approval from the Operations &amp; Vendor Management Office.</w:t>
      </w:r>
    </w:p>
    <w:sectPr>
      <w:pgSz w:w="12240" w:h="158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2026-04-07T21:01:54.179Z</dcterms:created>
  <dcterms:modified xsi:type="dcterms:W3CDTF">2026-04-07T21:01:54.216Z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