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AmazonH1"/>
      </w:pPr>
      <w:r>
        <w:t>WWRGD VendorIQ: Pre-Onboarding Vetting Framework — April 2026</w:t>
      </w:r>
    </w:p>
    <w:p>
      <w:pPr>
        <w:pStyle w:val="AmazonH2"/>
      </w:pPr>
      <w:r>
        <w:t>Purpose</w:t>
      </w:r>
    </w:p>
    <w:p>
      <w:pPr>
        <w:pStyle w:val="AMZNBody"/>
      </w:pPr>
      <w:r>
        <w:t>We propose making the WWRGD VendorIQ a mandatory pre-onboarding gate for all critical vendors. The app evaluates vendor RFI responses against a standardized 400-point Risk Scoring Matrix and delivers instant, AI-powered risk assessments. Adopting this tool will eliminate inconsistent vendor vetting, prevent costly mid-project failures, and give procurement teams a single, data-driven standard for qualifying vendors across every construction format and vendor category.</w:t>
      </w:r>
    </w:p>
    <w:p>
      <w:pPr>
        <w:pStyle w:val="AmazonH2"/>
      </w:pPr>
      <w:r>
        <w:t>Tenets</w:t>
      </w:r>
    </w:p>
    <w:p>
      <w:pPr>
        <w:pStyle w:val="AMZNBody"/>
      </w:pPr>
      <w:r>
        <w:rPr>
          <w:b/>
        </w:rPr>
        <w:t xml:space="preserve">Consistency: </w:t>
      </w:r>
      <w:r>
        <w:t>We evaluate every vendor through the same 400-point framework. No exceptions.</w:t>
      </w:r>
    </w:p>
    <w:p>
      <w:pPr>
        <w:pStyle w:val="AMZNBody"/>
      </w:pPr>
      <w:r>
        <w:rPr>
          <w:b/>
        </w:rPr>
        <w:t xml:space="preserve">Data over opinion: </w:t>
      </w:r>
      <w:r>
        <w:t>Every risk score traces back to evidence in the vendor's documentation. AI analysis ensures objectivity; human judgment ensures context.</w:t>
      </w:r>
    </w:p>
    <w:p>
      <w:pPr>
        <w:pStyle w:val="AMZNBody"/>
      </w:pPr>
      <w:r>
        <w:rPr>
          <w:b/>
        </w:rPr>
        <w:t xml:space="preserve">Prevention over correction: </w:t>
      </w:r>
      <w:r>
        <w:t>We screen for critical risks before we invest in onboarding. Seven disqualification triggers catch deal-breakers on day one.</w:t>
      </w:r>
    </w:p>
    <w:p>
      <w:pPr>
        <w:pStyle w:val="AMZNBody"/>
      </w:pPr>
      <w:r>
        <w:rPr>
          <w:b/>
        </w:rPr>
        <w:t xml:space="preserve">Scalability: </w:t>
      </w:r>
      <w:r>
        <w:t>Standardized scoring produces comparable outputs. We can rank vendors side by side across formats and categories.</w:t>
      </w:r>
    </w:p>
    <w:p>
      <w:pPr>
        <w:pStyle w:val="AMZNBody"/>
      </w:pPr>
      <w:r>
        <w:rPr>
          <w:b/>
        </w:rPr>
        <w:t xml:space="preserve">Frugality: </w:t>
      </w:r>
      <w:r>
        <w:t>We spend less than $500 per year to operate a tool that prevents millions in vendor-related losses.</w:t>
      </w:r>
    </w:p>
    <w:p>
      <w:pPr>
        <w:pStyle w:val="AmazonH2"/>
      </w:pPr>
      <w:r>
        <w:t>Background</w:t>
      </w:r>
    </w:p>
    <w:p>
      <w:pPr>
        <w:pStyle w:val="AMZNBody"/>
      </w:pPr>
      <w:r>
        <w:t>WWRGD builds and maintains physical grocery stores for Amazon and Whole Foods Market across three formats:</w:t>
      </w:r>
    </w:p>
    <w:p>
      <w:pPr>
        <w:pStyle w:val="AMZNBody"/>
      </w:pPr>
      <w:r>
        <w:rPr>
          <w:b/>
        </w:rPr>
        <w:t xml:space="preserve">Industrial (Ground-Up, DC): </w:t>
      </w:r>
      <w:r>
        <w:t>Distribution centers and warehouse facilities, typically 100K–300K+ SF. These projects require heavy civil construction, complex MEP systems, and high bonding capacity.</w:t>
      </w:r>
    </w:p>
    <w:p>
      <w:pPr>
        <w:pStyle w:val="AMZNBody"/>
      </w:pPr>
      <w:r>
        <w:rPr>
          <w:b/>
        </w:rPr>
        <w:t xml:space="preserve">Pipeline (New Stores): </w:t>
      </w:r>
      <w:r>
        <w:t>Prototype-driven new store builds rolled out across multiple states. These projects demand multi-state licensing, concurrent project management, and aggressive timelines.</w:t>
      </w:r>
    </w:p>
    <w:p>
      <w:pPr>
        <w:pStyle w:val="AMZNBody"/>
      </w:pPr>
      <w:r>
        <w:rPr>
          <w:b/>
        </w:rPr>
        <w:t xml:space="preserve">Enterprise (Existing Stores): </w:t>
      </w:r>
      <w:r>
        <w:t>Remodels, renovations, and refreshes of active retail locations. These projects require construction in occupied spaces, fast turnaround, and multi-store coordination.</w:t>
      </w:r>
    </w:p>
    <w:p>
      <w:pPr>
        <w:pStyle w:val="AMZNBody"/>
      </w:pPr>
      <w:r>
        <w:t>Each format depends on General Contractors, Architecture &amp; Design firms, Logistics providers, and specialized vendors. Until now, WWRGD lacked a standardized process to assess these vendors before onboarding them.</w:t>
      </w:r>
    </w:p>
    <w:p>
      <w:pPr>
        <w:pStyle w:val="AMZNBody"/>
      </w:pPr>
      <w:r>
        <w:t>Teams selected vendors through informal reference checks, relationship-based decisions, and incomplete financial reviews. Different evaluators applied different criteria. A vendor could pass one team's review and fail another's — for the same engagement. Once selected, vendors entered a 10-step onboarding workflow (legal documentation, insurance verification, Workday/Coupa/Procore setup, Amazon Payee Central integration) before anyone confirmed whether the vendor could actually deliver.</w:t>
      </w:r>
    </w:p>
    <w:p>
      <w:pPr>
        <w:pStyle w:val="AmazonH2"/>
      </w:pPr>
      <w:r>
        <w:t>Problem / Opportunity</w:t>
      </w:r>
    </w:p>
    <w:p>
      <w:pPr>
        <w:pStyle w:val="AMZNBody"/>
      </w:pPr>
      <w:r>
        <w:t>WWRGD had no systematic way to vet vendor capabilities and assess risk before committing to the onboarding process. This gap created five measurable problems:</w:t>
      </w:r>
    </w:p>
    <w:p>
      <w:pPr>
        <w:pStyle w:val="AmazonH3"/>
      </w:pPr>
      <w:r>
        <w:t>1. Vendor financial failures cost $2M–$5M annually</w:t>
      </w:r>
    </w:p>
    <w:p>
      <w:pPr>
        <w:pStyle w:val="AMZNBody"/>
      </w:pPr>
      <w:r>
        <w:t>We onboarded vendors with weak financial positions — high debt-to-equity ratios, negative cash flow, and insufficient bonding. When these vendors defaulted mid-project, WWRGD absorbed 15–30% of the original contract value in recovery, re-procurement, and schedule delays.</w:t>
      </w:r>
    </w:p>
    <w:p>
      <w:pPr>
        <w:pStyle w:val="AmazonH3"/>
      </w:pPr>
      <w:r>
        <w:t>2. Safety incidents expose WWRGD to $500K–$5M+ per event</w:t>
      </w:r>
    </w:p>
    <w:p>
      <w:pPr>
        <w:pStyle w:val="AMZNBody"/>
      </w:pPr>
      <w:r>
        <w:t>We engaged vendors with elevated EMR and TRIR scores and unresolved OSHA violations. A single serious safety incident on a WWRGD project site generates $500K–$5M+ in direct costs, regulatory fines, and legal liability. Proper screening would have flagged these vendors before they set foot on site.</w:t>
      </w:r>
    </w:p>
    <w:p>
      <w:pPr>
        <w:pStyle w:val="AmazonH3"/>
      </w:pPr>
      <w:r>
        <w:t>3. Quality failures add 8–15% to project costs</w:t>
      </w:r>
    </w:p>
    <w:p>
      <w:pPr>
        <w:pStyle w:val="AMZNBody"/>
      </w:pPr>
      <w:r>
        <w:t>We awarded work to vendors without documented quality management systems. These vendors produced excessive change orders, missed schedules, and delivered substandard work. Rework, punch list delays, and warranty claims added 8–15% to total project costs.</w:t>
      </w:r>
    </w:p>
    <w:p>
      <w:pPr>
        <w:pStyle w:val="AmazonH3"/>
      </w:pPr>
      <w:r>
        <w:t>4. Failed onboardings waste 20–40 hours each</w:t>
      </w:r>
    </w:p>
    <w:p>
      <w:pPr>
        <w:pStyle w:val="AMZNBody"/>
      </w:pPr>
      <w:r>
        <w:t>Each vendor onboarding requires cross-functional effort across procurement, legal, finance, and IT. When we onboard a vendor who later fails to perform, we lose that entire investment — an estimated 20–40 hours per vendor across the 10-step workflow.</w:t>
      </w:r>
    </w:p>
    <w:p>
      <w:pPr>
        <w:pStyle w:val="AmazonH3"/>
      </w:pPr>
      <w:r>
        <w:t>5. Inconsistent evaluations undermine procurement integrity</w:t>
      </w:r>
    </w:p>
    <w:p>
      <w:pPr>
        <w:pStyle w:val="AMZNBody"/>
      </w:pPr>
      <w:r>
        <w:t>Two evaluators reviewing the same vendor reached different conclusions because no standardized rubric existed. This inconsistency created compliance risk and made vendor-to-vendor comparison impossible.</w:t>
      </w:r>
    </w:p>
    <w:p>
      <w:pPr>
        <w:pStyle w:val="AMZNBody"/>
      </w:pPr>
      <w:r>
        <w:rPr>
          <w:b/>
        </w:rPr>
        <w:t>These problems compound as the store development pipeline scales. Every unvetted vendor we onboard carries risk that grows with project volume.</w:t>
      </w:r>
    </w:p>
    <w:p>
      <w:pPr>
        <w:pStyle w:val="AmazonH2"/>
      </w:pPr>
      <w:r>
        <w:t>Recommendation</w:t>
      </w:r>
    </w:p>
    <w:p>
      <w:pPr>
        <w:pStyle w:val="AMZNBody"/>
      </w:pPr>
      <w:r>
        <w:t>We recommend adopting the WWRGD VendorIQ as a mandatory pre-onboarding gate. The app is built, deployed, and operational today.</w:t>
      </w:r>
    </w:p>
    <w:p>
      <w:pPr>
        <w:pStyle w:val="AmazonH3"/>
      </w:pPr>
      <w:r>
        <w:t>What the app does</w:t>
      </w:r>
    </w:p>
    <w:p>
      <w:pPr>
        <w:pStyle w:val="AMZNBody"/>
      </w:pPr>
      <w:r>
        <w:rPr>
          <w:b/>
        </w:rPr>
        <w:t xml:space="preserve">App URL: </w:t>
      </w:r>
      <w:r>
        <w:t>http://wwrgd-risk-assessor-1860518450.us-west-2.elb.amazonaws.com</w:t>
      </w:r>
    </w:p>
    <w:p>
      <w:pPr>
        <w:pStyle w:val="AMZNBody"/>
      </w:pPr>
      <w:r>
        <w:t>A procurement team member uploads a completed vendor RFI. Within 10 seconds, the app delivers a full risk assessment. The AI engine (Amazon Bedrock, Claude Sonnet 4.5) reads the vendor's responses, scores them against the 400-point matrix, and generates professional reports with specific evidence and justifications.</w:t>
      </w:r>
    </w:p>
    <w:p>
      <w:pPr>
        <w:pStyle w:val="AMZNBody"/>
      </w:pPr>
      <w:r>
        <w:t>The assessment covers:</w:t>
      </w:r>
    </w:p>
    <w:p>
      <w:pPr>
        <w:pStyle w:val="AMZNBody"/>
      </w:pPr>
      <w:r>
        <w:rPr>
          <w:b/>
        </w:rPr>
        <w:t xml:space="preserve">7 Critical Risk Indicators: </w:t>
      </w:r>
      <w:r>
        <w:t>Active litigation &gt;$5M, willful/repeat OSHA violations, negative cash flow, debarment, EMR &gt;1.2 or TRIR &gt;3.0, insufficient insurance/bonding, and expired licenses. Any single failure disqualifies the vendor automatically.</w:t>
      </w:r>
    </w:p>
    <w:p>
      <w:pPr>
        <w:pStyle w:val="AMZNBody"/>
      </w:pPr>
      <w:r>
        <w:rPr>
          <w:b/>
        </w:rPr>
        <w:t xml:space="preserve">6 Weighted Risk Categories: </w:t>
      </w:r>
      <w:r>
        <w:t>Financial Stability (30%), Safety Performance (20%), Quality/Performance History (20%), Operational Capacity (20%), Compliance Record (5%), Technology Capabilities (5%). Each category scores 1–4 with detailed rubrics.</w:t>
      </w:r>
    </w:p>
    <w:p>
      <w:pPr>
        <w:pStyle w:val="AMZNBody"/>
      </w:pPr>
      <w:r>
        <w:rPr>
          <w:b/>
        </w:rPr>
        <w:t xml:space="preserve">4 Risk Tiers: </w:t>
      </w:r>
      <w:r>
        <w:t>Low Risk (320–400 pts, Category Manager/L6 approves), Medium Risk (240–319, Executive Leader/L7), High Risk (160–239, Director/L8), Critical Risk (&lt;160, disqualify).</w:t>
      </w:r>
    </w:p>
    <w:p>
      <w:pPr>
        <w:pStyle w:val="AMZNBody"/>
      </w:pPr>
      <w:r>
        <w:rPr>
          <w:b/>
        </w:rPr>
        <w:t xml:space="preserve">Format Fit Assessment: </w:t>
      </w:r>
      <w:r>
        <w:t>The app evaluates each vendor's suitability for Industrial, Pipeline, and Enterprise formats and assigns a fit rating (Strong Fit / Moderate Fit / Limited Fit / Not Suited).</w:t>
      </w:r>
    </w:p>
    <w:p>
      <w:pPr>
        <w:pStyle w:val="AmazonH3"/>
      </w:pPr>
      <w:r>
        <w:t>What vendors we should vet</w:t>
      </w:r>
    </w:p>
    <w:p>
      <w:pPr>
        <w:pStyle w:val="AMZNBody"/>
      </w:pPr>
      <w:r>
        <w:t>The app currently supports four vendor types. We recommend extending it to all critical vendors:</w:t>
      </w:r>
    </w:p>
    <w:p>
      <w:pPr>
        <w:pStyle w:val="AMZNBody"/>
      </w:pPr>
      <w:r>
        <w:rPr>
          <w:b/>
        </w:rPr>
        <w:t xml:space="preserve">Currently supported: </w:t>
      </w:r>
      <w:r>
        <w:t>General Contractors, Architecture &amp; Design firms, Logistics vendors, and General Vendors (professional services, technology, facilities management, equipment suppliers).</w:t>
      </w:r>
    </w:p>
    <w:p>
      <w:pPr>
        <w:pStyle w:val="AMZNBody"/>
      </w:pPr>
      <w:r>
        <w:rPr>
          <w:b/>
        </w:rPr>
        <w:t xml:space="preserve">Recommended additions: </w:t>
      </w:r>
      <w:r>
        <w:t>MEP subcontractors, fire protection/life safety vendors, refrigeration specialists, signage and branding vendors, FF&amp;E suppliers, security system integrators, and any vendor with contract values exceeding $500K or access to sensitive WWRGD facilities.</w:t>
      </w:r>
    </w:p>
    <w:p>
      <w:pPr>
        <w:pStyle w:val="AmazonH3"/>
      </w:pPr>
      <w:r>
        <w:t>What reports the app generates</w:t>
      </w:r>
    </w:p>
    <w:p>
      <w:pPr>
        <w:pStyle w:val="AMZNBody"/>
      </w:pPr>
      <w:r>
        <w:t>The app produces 14 downloadable Word documents. The Comprehensive Vendor Analysis report includes a company profile, 18-metric industry benchmarks table, section-by-section scoring with justifications and gaps, regional coverage maps, pricing and markup analysis, format fit assessment, and a conclusion with tier-specific next steps. The Executive Summary provides a 1-page overview for leadership approvals. The Multi-Vendor Comparison ranks multiple vendors side by side.</w:t>
      </w:r>
    </w:p>
    <w:p>
      <w:pPr>
        <w:pStyle w:val="AmazonH3"/>
      </w:pPr>
      <w:r>
        <w:t>What it costs and what it saves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</w:tcPr>
          <w:p>
            <w:r>
              <w:rPr>
                <w:b/>
              </w:rPr>
              <w:t>Risk Category</w:t>
            </w:r>
          </w:p>
        </w:tc>
        <w:tc>
          <w:tcPr>
            <w:tcW w:type="dxa" w:w="3249"/>
          </w:tcPr>
          <w:p>
            <w:r>
              <w:rPr>
                <w:b/>
              </w:rPr>
              <w:t>Annual Cost Without Vetting</w:t>
            </w:r>
          </w:p>
        </w:tc>
        <w:tc>
          <w:tcPr>
            <w:tcW w:type="dxa" w:w="3249"/>
          </w:tcPr>
          <w:p>
            <w:r>
              <w:rPr>
                <w:b/>
              </w:rPr>
              <w:t>Annual Cost With Vetting</w:t>
            </w:r>
          </w:p>
        </w:tc>
      </w:tr>
      <w:tr>
        <w:tc>
          <w:tcPr>
            <w:tcW w:type="dxa" w:w="3249"/>
          </w:tcPr>
          <w:p>
            <w:r>
              <w:t>Vendor financial failures</w:t>
            </w:r>
          </w:p>
        </w:tc>
        <w:tc>
          <w:tcPr>
            <w:tcW w:type="dxa" w:w="3249"/>
          </w:tcPr>
          <w:p>
            <w:r>
              <w:t>$2M–$5M</w:t>
            </w:r>
          </w:p>
        </w:tc>
        <w:tc>
          <w:tcPr>
            <w:tcW w:type="dxa" w:w="3249"/>
          </w:tcPr>
          <w:p>
            <w:r>
              <w:t>$400K–$1M (70–80% reduction)</w:t>
            </w:r>
          </w:p>
        </w:tc>
      </w:tr>
      <w:tr>
        <w:tc>
          <w:tcPr>
            <w:tcW w:type="dxa" w:w="3249"/>
          </w:tcPr>
          <w:p>
            <w:r>
              <w:t>Safety incidents</w:t>
            </w:r>
          </w:p>
        </w:tc>
        <w:tc>
          <w:tcPr>
            <w:tcW w:type="dxa" w:w="3249"/>
          </w:tcPr>
          <w:p>
            <w:r>
              <w:t>$500K–$2M</w:t>
            </w:r>
          </w:p>
        </w:tc>
        <w:tc>
          <w:tcPr>
            <w:tcW w:type="dxa" w:w="3249"/>
          </w:tcPr>
          <w:p>
            <w:r>
              <w:t>$200K–$800K (50–60% reduction)</w:t>
            </w:r>
          </w:p>
        </w:tc>
      </w:tr>
      <w:tr>
        <w:tc>
          <w:tcPr>
            <w:tcW w:type="dxa" w:w="3249"/>
          </w:tcPr>
          <w:p>
            <w:r>
              <w:t>Quality rework and change orders</w:t>
            </w:r>
          </w:p>
        </w:tc>
        <w:tc>
          <w:tcPr>
            <w:tcW w:type="dxa" w:w="3249"/>
          </w:tcPr>
          <w:p>
            <w:r>
              <w:t>$1.5M–$3M</w:t>
            </w:r>
          </w:p>
        </w:tc>
        <w:tc>
          <w:tcPr>
            <w:tcW w:type="dxa" w:w="3249"/>
          </w:tcPr>
          <w:p>
            <w:r>
              <w:t>$750K–$1.5M (40–50% reduction)</w:t>
            </w:r>
          </w:p>
        </w:tc>
      </w:tr>
      <w:tr>
        <w:tc>
          <w:tcPr>
            <w:tcW w:type="dxa" w:w="3249"/>
          </w:tcPr>
          <w:p>
            <w:r>
              <w:t>Wasted onboarding effort</w:t>
            </w:r>
          </w:p>
        </w:tc>
        <w:tc>
          <w:tcPr>
            <w:tcW w:type="dxa" w:w="3249"/>
          </w:tcPr>
          <w:p>
            <w:r>
              <w:t>$6K–$9K</w:t>
            </w:r>
          </w:p>
        </w:tc>
        <w:tc>
          <w:tcPr>
            <w:tcW w:type="dxa" w:w="3249"/>
          </w:tcPr>
          <w:p>
            <w:r>
              <w:t>$2K–$3K (60–70% reduction)</w:t>
            </w:r>
          </w:p>
        </w:tc>
      </w:tr>
      <w:tr>
        <w:tc>
          <w:tcPr>
            <w:tcW w:type="dxa" w:w="3249"/>
          </w:tcPr>
          <w:p>
            <w:r>
              <w:t>Schedule delays from vendor replacement</w:t>
            </w:r>
          </w:p>
        </w:tc>
        <w:tc>
          <w:tcPr>
            <w:tcW w:type="dxa" w:w="3249"/>
          </w:tcPr>
          <w:p>
            <w:r>
              <w:t>$1M–$3M</w:t>
            </w:r>
          </w:p>
        </w:tc>
        <w:tc>
          <w:tcPr>
            <w:tcW w:type="dxa" w:w="3249"/>
          </w:tcPr>
          <w:p>
            <w:r>
              <w:t>$400K–$1.2M (50–60% reduction)</w:t>
            </w:r>
          </w:p>
        </w:tc>
      </w:tr>
      <w:tr>
        <w:tc>
          <w:tcPr>
            <w:tcW w:type="dxa" w:w="3249"/>
          </w:tcPr>
          <w:p>
            <w:r>
              <w:t>Legal and contract disputes</w:t>
            </w:r>
          </w:p>
        </w:tc>
        <w:tc>
          <w:tcPr>
            <w:tcW w:type="dxa" w:w="3249"/>
          </w:tcPr>
          <w:p>
            <w:r>
              <w:t>$500K–$1.5M</w:t>
            </w:r>
          </w:p>
        </w:tc>
        <w:tc>
          <w:tcPr>
            <w:tcW w:type="dxa" w:w="3249"/>
          </w:tcPr>
          <w:p>
            <w:r>
              <w:t>$250K–$750K (40–50% reduction)</w:t>
            </w:r>
          </w:p>
        </w:tc>
      </w:tr>
      <w:tr>
        <w:tc>
          <w:tcPr>
            <w:tcW w:type="dxa" w:w="3249"/>
          </w:tcPr>
          <w:p>
            <w:r>
              <w:t>TOTAL ESTIMATED ANNUAL IMPACT</w:t>
            </w:r>
          </w:p>
        </w:tc>
        <w:tc>
          <w:tcPr>
            <w:tcW w:type="dxa" w:w="3249"/>
          </w:tcPr>
          <w:p>
            <w:r>
              <w:t>$5.5M–$14.5M</w:t>
            </w:r>
          </w:p>
        </w:tc>
        <w:tc>
          <w:tcPr>
            <w:tcW w:type="dxa" w:w="3249"/>
          </w:tcPr>
          <w:p>
            <w:r>
              <w:t>$2M–$5.3M</w:t>
            </w:r>
          </w:p>
        </w:tc>
      </w:tr>
    </w:tbl>
    <w:p>
      <w:pPr>
        <w:pStyle w:val="AMZNBody"/>
      </w:pPr>
    </w:p>
    <w:p>
      <w:pPr>
        <w:pStyle w:val="AMZNBody"/>
      </w:pPr>
      <w:r>
        <w:rPr>
          <w:b/>
        </w:rPr>
        <w:t>Estimated annual savings: $3.5M–$9.2M. App operating cost: &lt;$500/year. Return on investment: 7,000x–18,000x.</w:t>
      </w:r>
    </w:p>
    <w:p>
      <w:pPr>
        <w:pStyle w:val="AmazonH3"/>
      </w:pPr>
      <w:r>
        <w:t>How we roll it out</w:t>
      </w:r>
    </w:p>
    <w:p>
      <w:pPr>
        <w:pStyle w:val="AMZNBody"/>
      </w:pPr>
      <w:r>
        <w:rPr>
          <w:b/>
        </w:rPr>
        <w:t xml:space="preserve">Phase 1 (Immediate): </w:t>
      </w:r>
      <w:r>
        <w:t>Require risk assessment for all new General Contractor engagements. Use the app for GC evaluations currently in pipeline.</w:t>
      </w:r>
    </w:p>
    <w:p>
      <w:pPr>
        <w:pStyle w:val="AMZNBody"/>
      </w:pPr>
      <w:r>
        <w:rPr>
          <w:b/>
        </w:rPr>
        <w:t xml:space="preserve">Phase 2 (30 days): </w:t>
      </w:r>
      <w:r>
        <w:t>Extend to Architecture &amp; Design firms and Logistics vendors. Train the procurement team.</w:t>
      </w:r>
    </w:p>
    <w:p>
      <w:pPr>
        <w:pStyle w:val="AMZNBody"/>
      </w:pPr>
      <w:r>
        <w:rPr>
          <w:b/>
        </w:rPr>
        <w:t xml:space="preserve">Phase 3 (60 days): </w:t>
      </w:r>
      <w:r>
        <w:t>Extend to all critical vendor categories. Make the risk assessment a formal gate in the Vendor Onboarding Workflow — no vendor enters Step 1 without a completed assessment.</w:t>
      </w:r>
    </w:p>
    <w:p>
      <w:pPr>
        <w:pStyle w:val="AMZNBody"/>
      </w:pPr>
      <w:r>
        <w:rPr>
          <w:b/>
        </w:rPr>
        <w:t xml:space="preserve">Phase 4 (90 days): </w:t>
      </w:r>
      <w:r>
        <w:t>Establish annual re-scoring for active vendors. Use multi-vendor comparison for all competitive sourcing events.</w:t>
      </w:r>
    </w:p>
    <w:p>
      <w:pPr>
        <w:pStyle w:val="AmazonH2"/>
      </w:pPr>
      <w:r>
        <w:t>Next Steps</w:t>
      </w:r>
    </w:p>
    <w:p>
      <w:pPr>
        <w:pStyle w:val="AMZNBody"/>
      </w:pPr>
      <w:r>
        <w:t>1. Approve the VendorIQ as a mandatory pre-onboarding requirement for all critical vendors.</w:t>
      </w:r>
    </w:p>
    <w:p>
      <w:pPr>
        <w:pStyle w:val="AMZNBody"/>
      </w:pPr>
      <w:r>
        <w:t>2. Communicate the new process to WWRGD procurement teams and regional construction managers.</w:t>
      </w:r>
    </w:p>
    <w:p>
      <w:pPr>
        <w:pStyle w:val="AMZNBody"/>
      </w:pPr>
      <w:r>
        <w:t>3. Send RFI templates to vendors currently in the evaluation pipeline.</w:t>
      </w:r>
    </w:p>
    <w:p>
      <w:pPr>
        <w:pStyle w:val="AMZNBody"/>
      </w:pPr>
      <w:r>
        <w:t>4. Train evaluators on app usage, manual overrides, and report interpretation.</w:t>
      </w:r>
    </w:p>
    <w:p>
      <w:pPr>
        <w:pStyle w:val="AMZNBody"/>
      </w:pPr>
      <w:r>
        <w:t>5. Update the Vendor Onboarding Process Workflow to include the risk assessment as Step 0.</w:t>
      </w:r>
    </w:p>
    <w:p>
      <w:pPr>
        <w:pStyle w:val="AMZNBody"/>
      </w:pPr>
      <w:r>
        <w:t>6. Define success metrics: vendors assessed, disqualification rate, average risk score by type, and post-onboarding performance correlation.</w:t>
      </w:r>
    </w:p>
    <w:p>
      <w:pPr>
        <w:pStyle w:val="AMZNBody"/>
      </w:pPr>
      <w:r>
        <w:t>7. Execute Phase 1 pilot, collect feedback, and iterate before full rollout.</w:t>
      </w:r>
    </w:p>
    <w:p>
      <w:pPr>
        <w:pStyle w:val="AmazonH2"/>
      </w:pPr>
      <w:r>
        <w:t>Frequently Asked Questions</w:t>
      </w:r>
    </w:p>
    <w:p>
      <w:pPr>
        <w:pStyle w:val="AmazonH4"/>
      </w:pPr>
      <w:r>
        <w:t>Q: How long does a vendor assessment take?</w:t>
      </w:r>
    </w:p>
    <w:p>
      <w:pPr>
        <w:pStyle w:val="AMZNBody"/>
      </w:pPr>
      <w:r>
        <w:t>The app scores a vendor in 5–10 seconds after RFI upload. Manual review and score adjustments take an additional 10–15 minutes. Total time per vendor: under 20 minutes.</w:t>
      </w:r>
    </w:p>
    <w:p>
      <w:pPr>
        <w:pStyle w:val="AmazonH4"/>
      </w:pPr>
      <w:r>
        <w:t>Q: Can evaluators override the AI scores?</w:t>
      </w:r>
    </w:p>
    <w:p>
      <w:pPr>
        <w:pStyle w:val="AMZNBody"/>
      </w:pPr>
      <w:r>
        <w:t>Yes. Every score has a manual override dropdown. Evaluators adjust scores and add justification notes. The composite score recalculates in real time.</w:t>
      </w:r>
    </w:p>
    <w:p>
      <w:pPr>
        <w:pStyle w:val="AmazonH4"/>
      </w:pPr>
      <w:r>
        <w:t>Q: What happens when a vendor fails a Critical Risk Indicator?</w:t>
      </w:r>
    </w:p>
    <w:p>
      <w:pPr>
        <w:pStyle w:val="AMZNBody"/>
      </w:pPr>
      <w:r>
        <w:t>The app classifies the vendor as Critical Risk and disqualifies them regardless of composite score. The evaluator escalates to Director/L8. The vendor may reapply after 12 months with documented remediation.</w:t>
      </w:r>
    </w:p>
    <w:p>
      <w:pPr>
        <w:pStyle w:val="AmazonH4"/>
      </w:pPr>
      <w:r>
        <w:t>Q: How does this connect to the existing onboarding workflow?</w:t>
      </w:r>
    </w:p>
    <w:p>
      <w:pPr>
        <w:pStyle w:val="AMZNBody"/>
      </w:pPr>
      <w:r>
        <w:t>The risk assessment becomes Step 0. Only vendors that achieve Low or Medium Risk (with appropriate approval) proceed to Step 1 of the 10-step onboarding workflow.</w:t>
      </w:r>
    </w:p>
    <w:p>
      <w:pPr>
        <w:pStyle w:val="AmazonH4"/>
      </w:pPr>
      <w:r>
        <w:t>Q: Which vendors should go through this process?</w:t>
      </w:r>
    </w:p>
    <w:p>
      <w:pPr>
        <w:pStyle w:val="AMZNBody"/>
      </w:pPr>
      <w:r>
        <w:t>All critical vendors: General Contractors, Architecture &amp; Design firms, Logistics providers, and any vendor with contract values exceeding $500K or access to WWRGD facilities. The app supports adding new vendor categories at any time.</w:t>
      </w:r>
    </w:p>
    <w:p>
      <w:pPr>
        <w:pStyle w:val="AmazonH4"/>
      </w:pPr>
      <w:r>
        <w:t>Q: What does the app cost to operate?</w:t>
      </w:r>
    </w:p>
    <w:p>
      <w:pPr>
        <w:pStyle w:val="AMZNBody"/>
      </w:pPr>
      <w:r>
        <w:t>Less than $500 per year. It runs on Amazon ECS Fargate with Bedrock AI. There are no licensing fees, no per-seat costs, and no external vendor dependencies.</w:t>
      </w:r>
    </w:p>
    <w:p>
      <w:pPr>
        <w:pStyle w:val="AmazonH2"/>
      </w:pPr>
      <w:r>
        <w:t>Appendices</w:t>
      </w:r>
    </w:p>
    <w:p>
      <w:pPr>
        <w:pStyle w:val="AmazonH3"/>
      </w:pPr>
      <w:r>
        <w:t>Appendix A — Risk Tier Decision Framework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</w:tcPr>
          <w:p>
            <w:r>
              <w:rPr>
                <w:b/>
              </w:rPr>
              <w:t>Score Range</w:t>
            </w:r>
          </w:p>
        </w:tc>
        <w:tc>
          <w:tcPr>
            <w:tcW w:type="dxa" w:w="2436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2436"/>
          </w:tcPr>
          <w:p>
            <w:r>
              <w:rPr>
                <w:b/>
              </w:rPr>
              <w:t>Decision</w:t>
            </w:r>
          </w:p>
        </w:tc>
        <w:tc>
          <w:tcPr>
            <w:tcW w:type="dxa" w:w="2436"/>
          </w:tcPr>
          <w:p>
            <w:r>
              <w:rPr>
                <w:b/>
              </w:rPr>
              <w:t>Approval Authority</w:t>
            </w:r>
          </w:p>
        </w:tc>
      </w:tr>
      <w:tr>
        <w:tc>
          <w:tcPr>
            <w:tcW w:type="dxa" w:w="2436"/>
          </w:tcPr>
          <w:p>
            <w:r>
              <w:t>320–400 pts (80–100%)</w:t>
            </w:r>
          </w:p>
        </w:tc>
        <w:tc>
          <w:tcPr>
            <w:tcW w:type="dxa" w:w="2436"/>
          </w:tcPr>
          <w:p>
            <w:r>
              <w:t>Low Risk</w:t>
            </w:r>
          </w:p>
        </w:tc>
        <w:tc>
          <w:tcPr>
            <w:tcW w:type="dxa" w:w="2436"/>
          </w:tcPr>
          <w:p>
            <w:r>
              <w:t>Approve</w:t>
            </w:r>
          </w:p>
        </w:tc>
        <w:tc>
          <w:tcPr>
            <w:tcW w:type="dxa" w:w="2436"/>
          </w:tcPr>
          <w:p>
            <w:r>
              <w:t>Category Manager / L6</w:t>
            </w:r>
          </w:p>
        </w:tc>
      </w:tr>
      <w:tr>
        <w:tc>
          <w:tcPr>
            <w:tcW w:type="dxa" w:w="2436"/>
          </w:tcPr>
          <w:p>
            <w:r>
              <w:t>240–319 pts (60–79%)</w:t>
            </w:r>
          </w:p>
        </w:tc>
        <w:tc>
          <w:tcPr>
            <w:tcW w:type="dxa" w:w="2436"/>
          </w:tcPr>
          <w:p>
            <w:r>
              <w:t>Medium Risk</w:t>
            </w:r>
          </w:p>
        </w:tc>
        <w:tc>
          <w:tcPr>
            <w:tcW w:type="dxa" w:w="2436"/>
          </w:tcPr>
          <w:p>
            <w:r>
              <w:t>Conditional Approval</w:t>
            </w:r>
          </w:p>
        </w:tc>
        <w:tc>
          <w:tcPr>
            <w:tcW w:type="dxa" w:w="2436"/>
          </w:tcPr>
          <w:p>
            <w:r>
              <w:t>Executive Leader / L7</w:t>
            </w:r>
          </w:p>
        </w:tc>
      </w:tr>
      <w:tr>
        <w:tc>
          <w:tcPr>
            <w:tcW w:type="dxa" w:w="2436"/>
          </w:tcPr>
          <w:p>
            <w:r>
              <w:t>160–239 pts (40–59%)</w:t>
            </w:r>
          </w:p>
        </w:tc>
        <w:tc>
          <w:tcPr>
            <w:tcW w:type="dxa" w:w="2436"/>
          </w:tcPr>
          <w:p>
            <w:r>
              <w:t>High Risk</w:t>
            </w:r>
          </w:p>
        </w:tc>
        <w:tc>
          <w:tcPr>
            <w:tcW w:type="dxa" w:w="2436"/>
          </w:tcPr>
          <w:p>
            <w:r>
              <w:t>Executive Review Required</w:t>
            </w:r>
          </w:p>
        </w:tc>
        <w:tc>
          <w:tcPr>
            <w:tcW w:type="dxa" w:w="2436"/>
          </w:tcPr>
          <w:p>
            <w:r>
              <w:t>Director / L8</w:t>
            </w:r>
          </w:p>
        </w:tc>
      </w:tr>
      <w:tr>
        <w:tc>
          <w:tcPr>
            <w:tcW w:type="dxa" w:w="2436"/>
          </w:tcPr>
          <w:p>
            <w:r>
              <w:t>&lt; 160 pts (&lt; 40%)</w:t>
            </w:r>
          </w:p>
        </w:tc>
        <w:tc>
          <w:tcPr>
            <w:tcW w:type="dxa" w:w="2436"/>
          </w:tcPr>
          <w:p>
            <w:r>
              <w:t>Critical Risk</w:t>
            </w:r>
          </w:p>
        </w:tc>
        <w:tc>
          <w:tcPr>
            <w:tcW w:type="dxa" w:w="2436"/>
          </w:tcPr>
          <w:p>
            <w:r>
              <w:t>Disqualify</w:t>
            </w:r>
          </w:p>
        </w:tc>
        <w:tc>
          <w:tcPr>
            <w:tcW w:type="dxa" w:w="2436"/>
          </w:tcPr>
          <w:p>
            <w:r>
              <w:t>Disqualify</w:t>
            </w:r>
          </w:p>
        </w:tc>
      </w:tr>
    </w:tbl>
    <w:p>
      <w:pPr>
        <w:pStyle w:val="AmazonH3"/>
      </w:pPr>
      <w:r>
        <w:t>Appendix B — Scoring Categories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</w:tcPr>
          <w:p>
            <w:r>
              <w:rPr>
                <w:b/>
              </w:rPr>
              <w:t>Category</w:t>
            </w:r>
          </w:p>
        </w:tc>
        <w:tc>
          <w:tcPr>
            <w:tcW w:type="dxa" w:w="3249"/>
          </w:tcPr>
          <w:p>
            <w:r>
              <w:rPr>
                <w:b/>
              </w:rPr>
              <w:t>Weight</w:t>
            </w:r>
          </w:p>
        </w:tc>
        <w:tc>
          <w:tcPr>
            <w:tcW w:type="dxa" w:w="3249"/>
          </w:tcPr>
          <w:p>
            <w:r>
              <w:rPr>
                <w:b/>
              </w:rPr>
              <w:t>Max Points</w:t>
            </w:r>
          </w:p>
        </w:tc>
      </w:tr>
      <w:tr>
        <w:tc>
          <w:tcPr>
            <w:tcW w:type="dxa" w:w="3249"/>
          </w:tcPr>
          <w:p>
            <w:r>
              <w:t>Financial Stability</w:t>
            </w:r>
          </w:p>
        </w:tc>
        <w:tc>
          <w:tcPr>
            <w:tcW w:type="dxa" w:w="3249"/>
          </w:tcPr>
          <w:p>
            <w:r>
              <w:t>30%</w:t>
            </w:r>
          </w:p>
        </w:tc>
        <w:tc>
          <w:tcPr>
            <w:tcW w:type="dxa" w:w="3249"/>
          </w:tcPr>
          <w:p>
            <w:r>
              <w:t>100</w:t>
            </w:r>
          </w:p>
        </w:tc>
      </w:tr>
      <w:tr>
        <w:tc>
          <w:tcPr>
            <w:tcW w:type="dxa" w:w="3249"/>
          </w:tcPr>
          <w:p>
            <w:r>
              <w:t>Safety Performance</w:t>
            </w:r>
          </w:p>
        </w:tc>
        <w:tc>
          <w:tcPr>
            <w:tcW w:type="dxa" w:w="3249"/>
          </w:tcPr>
          <w:p>
            <w:r>
              <w:t>20%</w:t>
            </w:r>
          </w:p>
        </w:tc>
        <w:tc>
          <w:tcPr>
            <w:tcW w:type="dxa" w:w="3249"/>
          </w:tcPr>
          <w:p>
            <w:r>
              <w:t>80</w:t>
            </w:r>
          </w:p>
        </w:tc>
      </w:tr>
      <w:tr>
        <w:tc>
          <w:tcPr>
            <w:tcW w:type="dxa" w:w="3249"/>
          </w:tcPr>
          <w:p>
            <w:r>
              <w:t>Quality / Performance History</w:t>
            </w:r>
          </w:p>
        </w:tc>
        <w:tc>
          <w:tcPr>
            <w:tcW w:type="dxa" w:w="3249"/>
          </w:tcPr>
          <w:p>
            <w:r>
              <w:t>20%</w:t>
            </w:r>
          </w:p>
        </w:tc>
        <w:tc>
          <w:tcPr>
            <w:tcW w:type="dxa" w:w="3249"/>
          </w:tcPr>
          <w:p>
            <w:r>
              <w:t>80</w:t>
            </w:r>
          </w:p>
        </w:tc>
      </w:tr>
      <w:tr>
        <w:tc>
          <w:tcPr>
            <w:tcW w:type="dxa" w:w="3249"/>
          </w:tcPr>
          <w:p>
            <w:r>
              <w:t>Operational Capacity</w:t>
            </w:r>
          </w:p>
        </w:tc>
        <w:tc>
          <w:tcPr>
            <w:tcW w:type="dxa" w:w="3249"/>
          </w:tcPr>
          <w:p>
            <w:r>
              <w:t>20%</w:t>
            </w:r>
          </w:p>
        </w:tc>
        <w:tc>
          <w:tcPr>
            <w:tcW w:type="dxa" w:w="3249"/>
          </w:tcPr>
          <w:p>
            <w:r>
              <w:t>60</w:t>
            </w:r>
          </w:p>
        </w:tc>
      </w:tr>
      <w:tr>
        <w:tc>
          <w:tcPr>
            <w:tcW w:type="dxa" w:w="3249"/>
          </w:tcPr>
          <w:p>
            <w:r>
              <w:t>Compliance Record</w:t>
            </w:r>
          </w:p>
        </w:tc>
        <w:tc>
          <w:tcPr>
            <w:tcW w:type="dxa" w:w="3249"/>
          </w:tcPr>
          <w:p>
            <w:r>
              <w:t>10%</w:t>
            </w:r>
          </w:p>
        </w:tc>
        <w:tc>
          <w:tcPr>
            <w:tcW w:type="dxa" w:w="3249"/>
          </w:tcPr>
          <w:p>
            <w:r>
              <w:t>40</w:t>
            </w:r>
          </w:p>
        </w:tc>
      </w:tr>
      <w:tr>
        <w:tc>
          <w:tcPr>
            <w:tcW w:type="dxa" w:w="3249"/>
          </w:tcPr>
          <w:p>
            <w:r>
              <w:t>Technology Capabilities</w:t>
            </w:r>
          </w:p>
        </w:tc>
        <w:tc>
          <w:tcPr>
            <w:tcW w:type="dxa" w:w="3249"/>
          </w:tcPr>
          <w:p>
            <w:r>
              <w:t>10%</w:t>
            </w:r>
          </w:p>
        </w:tc>
        <w:tc>
          <w:tcPr>
            <w:tcW w:type="dxa" w:w="3249"/>
          </w:tcPr>
          <w:p>
            <w:r>
              <w:t>40</w:t>
            </w:r>
          </w:p>
        </w:tc>
      </w:tr>
      <w:tr>
        <w:tc>
          <w:tcPr>
            <w:tcW w:type="dxa" w:w="3249"/>
          </w:tcPr>
          <w:p>
            <w:r>
              <w:t>TOTAL</w:t>
            </w:r>
          </w:p>
        </w:tc>
        <w:tc>
          <w:tcPr>
            <w:tcW w:type="dxa" w:w="3249"/>
          </w:tcPr>
          <w:p>
            <w:r>
              <w:t>100%</w:t>
            </w:r>
          </w:p>
        </w:tc>
        <w:tc>
          <w:tcPr>
            <w:tcW w:type="dxa" w:w="3249"/>
          </w:tcPr>
          <w:p>
            <w:r>
              <w:t>400</w:t>
            </w:r>
          </w:p>
        </w:tc>
      </w:tr>
    </w:tbl>
    <w:p>
      <w:pPr>
        <w:pStyle w:val="AmazonH3"/>
      </w:pPr>
      <w:r>
        <w:t>Appendix C — Format Fit Assessment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</w:tcPr>
          <w:p>
            <w:r>
              <w:rPr>
                <w:b/>
              </w:rPr>
              <w:t>Format</w:t>
            </w:r>
          </w:p>
        </w:tc>
        <w:tc>
          <w:tcPr>
            <w:tcW w:type="dxa" w:w="3249"/>
          </w:tcPr>
          <w:p>
            <w:r>
              <w:rPr>
                <w:b/>
              </w:rPr>
              <w:t>Scope</w:t>
            </w:r>
          </w:p>
        </w:tc>
        <w:tc>
          <w:tcPr>
            <w:tcW w:type="dxa" w:w="3249"/>
          </w:tcPr>
          <w:p>
            <w:r>
              <w:rPr>
                <w:b/>
              </w:rPr>
              <w:t>Key Criteria</w:t>
            </w:r>
          </w:p>
        </w:tc>
      </w:tr>
      <w:tr>
        <w:tc>
          <w:tcPr>
            <w:tcW w:type="dxa" w:w="3249"/>
          </w:tcPr>
          <w:p>
            <w:r>
              <w:t>Industrial (Ground-Up, DC)</w:t>
            </w:r>
          </w:p>
        </w:tc>
        <w:tc>
          <w:tcPr>
            <w:tcW w:type="dxa" w:w="3249"/>
          </w:tcPr>
          <w:p>
            <w:r>
              <w:t>100K–300K+ SF DCs, warehouses</w:t>
            </w:r>
          </w:p>
        </w:tc>
        <w:tc>
          <w:tcPr>
            <w:tcW w:type="dxa" w:w="3249"/>
          </w:tcPr>
          <w:p>
            <w:r>
              <w:t>Heavy civil, MEP complexity, bonding capacity, complex site safety</w:t>
            </w:r>
          </w:p>
        </w:tc>
      </w:tr>
      <w:tr>
        <w:tc>
          <w:tcPr>
            <w:tcW w:type="dxa" w:w="3249"/>
          </w:tcPr>
          <w:p>
            <w:r>
              <w:t>Pipeline (New Stores)</w:t>
            </w:r>
          </w:p>
        </w:tc>
        <w:tc>
          <w:tcPr>
            <w:tcW w:type="dxa" w:w="3249"/>
          </w:tcPr>
          <w:p>
            <w:r>
              <w:t>Prototype new store rollouts</w:t>
            </w:r>
          </w:p>
        </w:tc>
        <w:tc>
          <w:tcPr>
            <w:tcW w:type="dxa" w:w="3249"/>
          </w:tcPr>
          <w:p>
            <w:r>
              <w:t>Multi-state coverage, concurrent projects, speed-to-market, tiered fees</w:t>
            </w:r>
          </w:p>
        </w:tc>
      </w:tr>
      <w:tr>
        <w:tc>
          <w:tcPr>
            <w:tcW w:type="dxa" w:w="3249"/>
          </w:tcPr>
          <w:p>
            <w:r>
              <w:t>Enterprise (Existing Stores)</w:t>
            </w:r>
          </w:p>
        </w:tc>
        <w:tc>
          <w:tcPr>
            <w:tcW w:type="dxa" w:w="3249"/>
          </w:tcPr>
          <w:p>
            <w:r>
              <w:t>Remodels, renovations, fast rollouts</w:t>
            </w:r>
          </w:p>
        </w:tc>
        <w:tc>
          <w:tcPr>
            <w:tcW w:type="dxa" w:w="3249"/>
          </w:tcPr>
          <w:p>
            <w:r>
              <w:t>Multi-store management, occupied space experience, minimal disruption</w:t>
            </w:r>
          </w:p>
        </w:tc>
      </w:tr>
    </w:tbl>
    <w:p>
      <w:pPr>
        <w:pStyle w:val="AmazonH3"/>
      </w:pPr>
      <w:r>
        <w:t>Appendix D — Reports Generated by the App</w:t>
      </w:r>
    </w:p>
    <w:p>
      <w:pPr>
        <w:pStyle w:val="AMZNBody"/>
      </w:pPr>
      <w:r>
        <w:t>1. Comprehensive Vendor Analysis (7-section deep-dive)</w:t>
      </w:r>
    </w:p>
    <w:p>
      <w:pPr>
        <w:pStyle w:val="AMZNBody"/>
      </w:pPr>
      <w:r>
        <w:t>2. Risk Assessment Report (7-section standard)</w:t>
      </w:r>
    </w:p>
    <w:p>
      <w:pPr>
        <w:pStyle w:val="AMZNBody"/>
      </w:pPr>
      <w:r>
        <w:t>3. Executive Summary (1-page)</w:t>
      </w:r>
    </w:p>
    <w:p>
      <w:pPr>
        <w:pStyle w:val="AMZNBody"/>
      </w:pPr>
      <w:r>
        <w:t>4. Multi-Vendor Comparison</w:t>
      </w:r>
    </w:p>
    <w:p>
      <w:pPr>
        <w:pStyle w:val="AMZNBody"/>
      </w:pPr>
      <w:r>
        <w:t>5–14. Focused reports: Financial, Safety, Sustainability, Quality, Compliance, Technology, Insurance, Pricing, Service Capabilities, Resources/Company Profile</w:t>
      </w:r>
    </w:p>
    <w:p>
      <w:pPr>
        <w:pStyle w:val="AmazonH3"/>
      </w:pPr>
      <w:r>
        <w:t>Appendix E — App Access and Document Library</w:t>
      </w:r>
    </w:p>
    <w:p>
      <w:pPr>
        <w:pStyle w:val="AMZNBody"/>
      </w:pPr>
      <w:r>
        <w:rPr>
          <w:b/>
        </w:rPr>
        <w:t xml:space="preserve">Live app: </w:t>
      </w:r>
      <w:r>
        <w:t>http://wwrgd-risk-assessor-1860518450.us-west-2.elb.amazonaws.com</w:t>
      </w:r>
    </w:p>
    <w:p>
      <w:pPr>
        <w:pStyle w:val="AMZNBody"/>
      </w:pPr>
      <w:r>
        <w:t>The Document Library includes: RFI templates (4 vendor types), Risk Scoring Matrices (4), Vendor Evaluation Scorecard, Workflow SOP, Vendor Onboarding Workflow, App User Guide, AIA A102/A201 references, Fee Type thresholds, and this narrative.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lnNumType w:countBy="1" w:start="1" w:restart="continuous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auto" w:w="10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single" w:color="E47911" w:sz="4"/>
            <w:left w:val="none"/>
            <w:bottom w:val="none"/>
            <w:right w:val="none"/>
          </w:tcBorders>
          <w:shd w:fill="FFFFFF" w:val="clear"/>
        </w:tcPr>
        <w:p>
          <w:r>
            <w:rPr>
              <w:rFonts w:ascii="Calibri" w:cs="Calibri" w:eastAsia="Calibri" w:hAnsi="Calibri"/>
              <w:color w:val="888888"/>
              <w:sz w:val="16"/>
              <w:szCs w:val="16"/>
            </w:rPr>
            <w:t xml:space="preserve">April 2026 – WWRGD Procurement &amp; Vendor Risk Management</w:t>
          </w:r>
        </w:p>
      </w:tc>
      <w:tc>
        <w:tcPr>
          <w:tcW w:type="dxa" w:w="4680"/>
          <w:tcBorders>
            <w:top w:val="single" w:color="E47911" w:sz="4"/>
            <w:left w:val="none"/>
            <w:bottom w:val="none"/>
            <w:right w:val="none"/>
          </w:tcBorders>
          <w:shd w:fill="FFFFFF" w:val="clear"/>
        </w:tcPr>
        <w:p>
          <w:pPr>
            <w:jc w:val="right"/>
          </w:pPr>
          <w:r>
            <w:rPr>
              <w:rFonts w:ascii="Calibri" w:cs="Calibri" w:eastAsia="Calibri" w:hAnsi="Calibri"/>
              <w:color w:val="888888"/>
              <w:sz w:val="16"/>
              <w:szCs w:val="16"/>
            </w:rPr>
            <w:t xml:space="preserve">Page </w:t>
          </w:r>
          <w:r>
            <w:rPr>
              <w:rFonts w:ascii="Calibri" w:cs="Calibri" w:eastAsia="Calibri" w:hAnsi="Calibri"/>
              <w:color w:val="888888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Calibri" w:cs="Calibri" w:eastAsia="Calibri" w:hAnsi="Calibri"/>
              <w:color w:val="888888"/>
              <w:sz w:val="16"/>
              <w:szCs w:val="16"/>
            </w:rPr>
            <w:t xml:space="preserve"> of </w:t>
          </w:r>
          <w:r>
            <w:rPr>
              <w:rFonts w:ascii="Calibri" w:cs="Calibri" w:eastAsia="Calibri" w:hAnsi="Calibri"/>
              <w:color w:val="888888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9360"/>
    </w:tblGrid>
    <w:tr>
      <w:tc>
        <w:tcPr>
          <w:tcW w:type="dxa" w:w="9360"/>
          <w:tcBorders>
            <w:top w:val="none"/>
            <w:left w:val="none"/>
            <w:bottom w:val="single" w:color="E47911" w:sz="6"/>
            <w:right w:val="none"/>
          </w:tcBorders>
          <w:shd w:fill="FFFFFF" w:val="clear"/>
        </w:tcPr>
        <w:p>
          <w:r>
            <w:rPr>
              <w:rFonts w:ascii="Calibri" w:cs="Calibri" w:eastAsia="Calibri" w:hAnsi="Calibri"/>
              <w:b/>
              <w:bCs/>
              <w:color w:val="002050"/>
              <w:sz w:val="16"/>
              <w:szCs w:val="16"/>
            </w:rPr>
            <w:t xml:space="preserve">WWRGD VendorIQ Program — April 2026</w:t>
          </w:r>
          <w:r>
            <w:rPr>
              <w:rFonts w:ascii="Calibri" w:cs="Calibri" w:eastAsia="Calibri" w:hAnsi="Calibri"/>
              <w:color w:val="888888"/>
              <w:sz w:val="16"/>
              <w:szCs w:val="16"/>
            </w:rPr>
            <w:t xml:space="preserve">   |   CONFIDENTIAL — WWRGD Procurement &amp; Vendor Risk Management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80"/>
        <w:ind w:left="540" w:hanging="360"/>
      </w:pPr>
      <w:rPr>
        <w:rFonts w:ascii="Calibri" w:cs="Calibri" w:eastAsia="Calibri" w:hAnsi="Calibri"/>
        <w:b w:val="false"/>
        <w:bCs w:val="false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80"/>
        <w:ind w:left="540" w:hanging="360"/>
      </w:pPr>
      <w:rPr>
        <w:rFonts w:ascii="Symbol" w:cs="Symbol" w:eastAsia="Symbol" w:hAnsi="Symbol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spacing w:after="60"/>
        <w:ind w:left="900" w:hanging="360"/>
      </w:pPr>
      <w:rPr>
        <w:rFonts w:ascii="Calibri" w:cs="Calibri" w:eastAsia="Calibri" w:hAnsi="Calibri"/>
        <w:sz w:val="22"/>
        <w:szCs w:val="22"/>
      </w:r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80"/>
        <w:ind w:left="540" w:hanging="360"/>
      </w:pPr>
      <w:rPr>
        <w:rFonts w:ascii="Calibri" w:cs="Calibri" w:eastAsia="Calibri" w:hAnsi="Calibri"/>
        <w:sz w:val="22"/>
        <w:szCs w:val="22"/>
      </w:r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80"/>
        <w:ind w:left="540" w:hanging="360"/>
      </w:pPr>
      <w:rPr>
        <w:rFonts w:ascii="Calibri" w:cs="Calibri" w:eastAsia="Calibri" w:hAnsi="Calibri"/>
        <w:b w:val="false"/>
        <w:bCs w:val="false"/>
        <w:sz w:val="22"/>
        <w:szCs w:val="22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80"/>
        <w:ind w:left="540" w:hanging="360"/>
      </w:pPr>
      <w:rPr>
        <w:rFonts w:ascii="Calibri" w:cs="Calibri" w:eastAsia="Calibri" w:hAnsi="Calibri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2"/>
        <w:szCs w:val="22"/>
      </w:rPr>
    </w:rPrDefault>
    <w:pPrDefault>
      <w:pPr>
        <w:spacing w:after="12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AmazonH1">
    <w:name w:val="AmazonH1"/>
    <w:basedOn w:val="Normal"/>
    <w:next w:val="AMZNBody"/>
    <w:qFormat/>
    <w:pPr>
      <w:spacing w:after="200" w:before="0"/>
      <w:outlineLvl w:val="0"/>
    </w:pPr>
    <w:rPr>
      <w:rFonts w:ascii="Calibri" w:cs="Calibri" w:eastAsia="Calibri" w:hAnsi="Calibri"/>
      <w:b/>
      <w:bCs/>
      <w:color w:val="131921"/>
      <w:sz w:val="44"/>
      <w:szCs w:val="44"/>
    </w:rPr>
  </w:style>
  <w:style w:type="paragraph" w:styleId="AmazonH2">
    <w:name w:val="AmazonH2"/>
    <w:basedOn w:val="Normal"/>
    <w:next w:val="AMZNBody"/>
    <w:qFormat/>
    <w:pPr>
      <w:pBdr>
        <w:bottom w:val="single" w:color="E47911" w:sz="4" w:space="4"/>
      </w:pBdr>
      <w:spacing w:after="120" w:before="360"/>
      <w:outlineLvl w:val="1"/>
    </w:pPr>
    <w:rPr>
      <w:rFonts w:ascii="Calibri" w:cs="Calibri" w:eastAsia="Calibri" w:hAnsi="Calibri"/>
      <w:b/>
      <w:bCs/>
      <w:color w:val="002050"/>
      <w:sz w:val="28"/>
      <w:szCs w:val="28"/>
    </w:rPr>
  </w:style>
  <w:style w:type="paragraph" w:styleId="AmazonH3">
    <w:name w:val="AmazonH3"/>
    <w:basedOn w:val="Normal"/>
    <w:next w:val="AMZNBody"/>
    <w:qFormat/>
    <w:pPr>
      <w:spacing w:after="80" w:before="240"/>
      <w:outlineLvl w:val="2"/>
    </w:pPr>
    <w:rPr>
      <w:rFonts w:ascii="Calibri" w:cs="Calibri" w:eastAsia="Calibri" w:hAnsi="Calibri"/>
      <w:b/>
      <w:bCs/>
      <w:color w:val="002050"/>
      <w:sz w:val="24"/>
      <w:szCs w:val="24"/>
    </w:rPr>
  </w:style>
  <w:style w:type="paragraph" w:styleId="AmazonH4">
    <w:name w:val="AmazonH4"/>
    <w:basedOn w:val="Normal"/>
    <w:next w:val="AMZNBody"/>
    <w:qFormat/>
    <w:pPr>
      <w:spacing w:after="60" w:before="160"/>
      <w:outlineLvl w:val="3"/>
    </w:pPr>
    <w:rPr>
      <w:rFonts w:ascii="Calibri" w:cs="Calibri" w:eastAsia="Calibri" w:hAnsi="Calibri"/>
      <w:b/>
      <w:bCs/>
      <w:color w:val="002050"/>
      <w:sz w:val="22"/>
      <w:szCs w:val="22"/>
    </w:rPr>
  </w:style>
  <w:style w:type="paragraph" w:styleId="AMZNBody">
    <w:name w:val="AMZNBody"/>
    <w:basedOn w:val="Normal"/>
    <w:next w:val="AMZNBody"/>
    <w:qFormat/>
    <w:pPr>
      <w:spacing w:after="120" w:before="0" w:line="276"/>
    </w:pPr>
    <w:rPr>
      <w:rFonts w:ascii="Calibri" w:cs="Calibri" w:eastAsia="Calibri" w:hAnsi="Calibri"/>
      <w:color w:val="000000"/>
      <w:sz w:val="22"/>
      <w:szCs w:val="22"/>
    </w:rPr>
  </w:style>
  <w:style w:type="paragraph" w:styleId="AMZNCallout">
    <w:name w:val="AMZNCallout"/>
    <w:basedOn w:val="Normal"/>
    <w:next w:val="AMZNBody"/>
    <w:qFormat/>
    <w:pPr>
      <w:spacing w:after="80" w:before="80" w:line="264"/>
      <w:ind w:left="360" w:right="360"/>
    </w:pPr>
    <w:rPr>
      <w:rFonts w:ascii="Calibri" w:cs="Calibri" w:eastAsia="Calibri" w:hAnsi="Calibri"/>
      <w:i/>
      <w:iCs/>
      <w:color w:val="002050"/>
      <w:sz w:val="20"/>
      <w:szCs w:val="20"/>
    </w:rPr>
  </w:style>
  <w:style w:type="paragraph" w:styleId="AMZNHeader">
    <w:name w:val="AMZNHeader"/>
    <w:basedOn w:val="Normal"/>
    <w:pPr>
      <w:spacing w:after="0"/>
    </w:pPr>
    <w:rPr>
      <w:rFonts w:ascii="Calibri" w:cs="Calibri" w:eastAsia="Calibri" w:hAnsi="Calibri"/>
      <w:color w:val="FFFFFF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2026-04-06T23:08:46.527Z</dcterms:created>
  <dcterms:modified xsi:type="dcterms:W3CDTF">2026-04-06T23:08:46.590Z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